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AB4FFE" w:rsidRPr="0054024A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54024A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54024A" w:rsidRDefault="00D276E9" w:rsidP="00D276E9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13</w:t>
            </w:r>
            <w:r w:rsidR="00AE4782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</w:t>
            </w:r>
            <w:r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junho</w:t>
            </w:r>
            <w:r w:rsidR="00C54DD7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2022</w:t>
            </w:r>
            <w:r w:rsidR="0001455A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C54DD7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Segunda</w:t>
            </w:r>
            <w:r w:rsidR="006024FC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54024A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1C0370" w:rsidRPr="0054024A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</w:t>
            </w:r>
            <w:r w:rsidR="00B53DD8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06</w:t>
            </w:r>
            <w:r w:rsidR="007C1914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</w:t>
            </w:r>
            <w:r w:rsidR="00B53DD8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5:38</w:t>
            </w:r>
            <w:r w:rsidR="00262F08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54024A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54024A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54024A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54024A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:rsidR="007D0C20" w:rsidRPr="0054024A" w:rsidRDefault="00294F25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54024A">
        <w:rPr>
          <w:rFonts w:ascii="Arial" w:eastAsia="Times New Roman" w:hAnsi="Arial" w:cs="Arial"/>
          <w:caps/>
          <w:noProof/>
          <w:color w:val="000000" w:themeColor="text1"/>
          <w:spacing w:val="4"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-1270</wp:posOffset>
                </wp:positionV>
                <wp:extent cx="609600" cy="4663440"/>
                <wp:effectExtent l="0" t="0" r="0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6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-.1pt;width:48pt;height:367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" stroked="f">
                <v:textbox>
                  <w:txbxContent>
                    <w:p w:rsidR="00294F25" w:rsidRDefault="00294F25"/>
                  </w:txbxContent>
                </v:textbox>
                <w10:wrap type="square" anchorx="margin"/>
              </v:shape>
            </w:pict>
          </mc:Fallback>
        </mc:AlternateContent>
      </w:r>
      <w:r w:rsidR="007D0C20" w:rsidRPr="0054024A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54024A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51479" w:rsidRPr="0054024A" w:rsidRDefault="00551479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321A9" w:rsidRPr="0054024A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51479" w:rsidRPr="0054024A" w:rsidRDefault="00C54DD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Coordenadora</w:t>
            </w:r>
          </w:p>
        </w:tc>
      </w:tr>
      <w:tr w:rsidR="000D3C92" w:rsidRPr="0054024A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D3C92" w:rsidRPr="0054024A" w:rsidRDefault="000D3C92" w:rsidP="00874E92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bdr w:val="single" w:sz="4" w:space="0" w:color="595959" w:themeColor="text1" w:themeTint="A6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54024A" w:rsidRDefault="00BD2B27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54024A" w:rsidRDefault="00BD2B27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Conselheira Titular</w:t>
            </w:r>
          </w:p>
        </w:tc>
      </w:tr>
      <w:tr w:rsidR="00C54DD7" w:rsidRPr="0054024A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C54DD7" w:rsidRPr="0054024A" w:rsidRDefault="00C54DD7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54DD7" w:rsidRPr="0054024A" w:rsidRDefault="00CF59A8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024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Luciane Diel de Freitas Pereira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54DD7" w:rsidRPr="0054024A" w:rsidRDefault="00CF59A8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Suplente de Conselheiro</w:t>
            </w:r>
          </w:p>
        </w:tc>
      </w:tr>
      <w:tr w:rsidR="00D5233B" w:rsidRPr="0054024A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D5233B" w:rsidRPr="0054024A" w:rsidRDefault="00D5233B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5233B" w:rsidRPr="0054024A" w:rsidRDefault="00CE5901" w:rsidP="000D3C92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CE590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Eduardo Lino Duarte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5233B" w:rsidRPr="0054024A" w:rsidRDefault="00CE5901" w:rsidP="000D3C92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Conselheiro</w:t>
            </w: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Titular</w:t>
            </w:r>
          </w:p>
        </w:tc>
      </w:tr>
      <w:tr w:rsidR="00D276E9" w:rsidRPr="0054024A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D276E9" w:rsidRPr="0054024A" w:rsidRDefault="00D276E9" w:rsidP="00D276E9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  <w:r w:rsidRPr="0054024A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76E9" w:rsidRPr="0054024A" w:rsidRDefault="00D276E9" w:rsidP="00D276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z w:val="20"/>
                <w:szCs w:val="20"/>
              </w:rPr>
              <w:t>Keila Fernandes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D276E9" w:rsidRPr="0054024A" w:rsidRDefault="00D276E9" w:rsidP="00D276E9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z w:val="20"/>
                <w:szCs w:val="20"/>
              </w:rPr>
              <w:t>Secretária Geral</w:t>
            </w:r>
          </w:p>
        </w:tc>
      </w:tr>
      <w:tr w:rsidR="00CF59A8" w:rsidRPr="0054024A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CF59A8" w:rsidRPr="0054024A" w:rsidRDefault="00CF59A8" w:rsidP="00CF59A8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F59A8" w:rsidRPr="0054024A" w:rsidRDefault="00CF59A8" w:rsidP="00CF59A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024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Elias Pereira de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CF59A8" w:rsidRPr="0054024A" w:rsidRDefault="00CF59A8" w:rsidP="00CF59A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Procurador Jurídico CAU/MS</w:t>
            </w:r>
          </w:p>
        </w:tc>
      </w:tr>
    </w:tbl>
    <w:p w:rsidR="007D0C20" w:rsidRPr="0054024A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54024A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pPr w:leftFromText="141" w:rightFromText="141" w:vertAnchor="text" w:tblpY="1"/>
        <w:tblOverlap w:val="never"/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54024A" w:rsidTr="0054024A">
        <w:trPr>
          <w:trHeight w:val="1922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54024A" w:rsidRDefault="00624CF0" w:rsidP="0054024A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54024A" w:rsidRDefault="00764E91" w:rsidP="0054024A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C1A22" w:rsidRPr="0054024A" w:rsidRDefault="00AC1A22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:rsidR="00AC1A22" w:rsidRPr="0054024A" w:rsidRDefault="00AC1A22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:rsidR="00AC1A22" w:rsidRPr="0054024A" w:rsidRDefault="00AC1A22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:rsidR="00AC1A22" w:rsidRPr="0054024A" w:rsidRDefault="00240E94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:rsidR="00AC1A22" w:rsidRPr="0054024A" w:rsidRDefault="0008481A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:rsidR="002B4086" w:rsidRPr="0054024A" w:rsidRDefault="002B4086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:rsidR="007D0C20" w:rsidRPr="0054024A" w:rsidRDefault="0008481A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:rsidR="0008481A" w:rsidRPr="0054024A" w:rsidRDefault="0008481A" w:rsidP="0054024A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54024A" w:rsidTr="0054024A">
        <w:trPr>
          <w:trHeight w:val="279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54024A" w:rsidRDefault="00764E91" w:rsidP="0054024A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D617D" w:rsidRPr="0054024A" w:rsidRDefault="00CF5CAF" w:rsidP="0054024A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A </w:t>
            </w:r>
            <w:r w:rsidR="005800D6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="00544F22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, tendo verificado o </w:t>
            </w:r>
            <w:r w:rsidR="002E5710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quórum, instala a reunião</w:t>
            </w:r>
            <w:r w:rsidR="004151DB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, </w:t>
            </w:r>
            <w:r w:rsidR="00CF59A8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e explica que assumiu </w:t>
            </w:r>
            <w:r w:rsidR="004151DB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 titularidade na presente r</w:t>
            </w:r>
            <w:r w:rsidR="004A0404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eunião a suplente de conselheiro</w:t>
            </w:r>
            <w:r w:rsidR="00CF59A8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CF59A8" w:rsidRPr="0054024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Luciane Diel de Freitas Pereira</w:t>
            </w:r>
            <w:r w:rsidR="004151DB"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</w:t>
            </w:r>
            <w:r w:rsidR="004151DB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em razão</w:t>
            </w:r>
            <w:r w:rsidR="004A0404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da justificativa de ausência do conselheiro</w:t>
            </w:r>
            <w:r w:rsidR="004151DB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titular </w:t>
            </w:r>
            <w:r w:rsidR="00CF59A8" w:rsidRPr="0054024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Rubens Morais da Costa Marques</w:t>
            </w:r>
            <w:r w:rsidR="004151DB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  <w:r w:rsidR="004A0404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Registra-se a justificava de ausência da conselheira titular </w:t>
            </w:r>
            <w:r w:rsidR="004A0404" w:rsidRPr="0054024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Rosane Inês Petersen.</w:t>
            </w:r>
          </w:p>
        </w:tc>
      </w:tr>
      <w:tr w:rsidR="007D0C20" w:rsidRPr="0054024A" w:rsidTr="0054024A">
        <w:trPr>
          <w:trHeight w:val="2157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54024A" w:rsidRDefault="007D0C20" w:rsidP="0054024A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4D21CB" w:rsidRPr="0054024A" w:rsidRDefault="004D21CB" w:rsidP="0054024A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402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1) Verificação de Quórum;</w:t>
            </w:r>
          </w:p>
          <w:p w:rsidR="004D21CB" w:rsidRPr="0054024A" w:rsidRDefault="004D21CB" w:rsidP="0054024A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402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2) Leitura, discussão e aprovação da súmula:</w:t>
            </w:r>
          </w:p>
          <w:p w:rsidR="004D21CB" w:rsidRPr="0054024A" w:rsidRDefault="004D21CB" w:rsidP="0054024A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402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2.1) 94ª Súmula da Reunião Ordinária – CEF/MS</w:t>
            </w:r>
          </w:p>
          <w:p w:rsidR="004D21CB" w:rsidRPr="0054024A" w:rsidRDefault="004D21CB" w:rsidP="0054024A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402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3) Leitura e extrato de correspondências recebidas e expedidas:</w:t>
            </w:r>
          </w:p>
          <w:p w:rsidR="004D21CB" w:rsidRPr="0054024A" w:rsidRDefault="004D21CB" w:rsidP="0054024A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402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4) Comunicações: </w:t>
            </w:r>
          </w:p>
          <w:p w:rsidR="004D21CB" w:rsidRPr="0054024A" w:rsidRDefault="004D21CB" w:rsidP="0054024A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402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5) Apresentação de Pauta:</w:t>
            </w:r>
          </w:p>
          <w:p w:rsidR="004D21CB" w:rsidRPr="0054024A" w:rsidRDefault="004D21CB" w:rsidP="0054024A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402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5.1) Deliberação de comissão para solicitações de registros definitivos e provisório, conforme Art. 96, inciso VII do Regimento Interno – CAU/MS;</w:t>
            </w:r>
          </w:p>
          <w:p w:rsidR="004D21CB" w:rsidRPr="0054024A" w:rsidRDefault="004D21CB" w:rsidP="0054024A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402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5.1.1) Solicitação de 12 (doze) registros profissionais provisórios;</w:t>
            </w:r>
          </w:p>
          <w:p w:rsidR="004D21CB" w:rsidRPr="0054024A" w:rsidRDefault="004D21CB" w:rsidP="0054024A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402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5.1.2) Solicitação de 14 (quatorze) registros profissionais definitivos;</w:t>
            </w:r>
          </w:p>
          <w:p w:rsidR="004D21CB" w:rsidRPr="0054024A" w:rsidRDefault="004D21CB" w:rsidP="0054024A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402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5.2) Relato da coordenadora no Encontro Nacional dos Coordenadores da CEF CAU BR; </w:t>
            </w:r>
          </w:p>
          <w:p w:rsidR="004D21CB" w:rsidRPr="0054024A" w:rsidRDefault="004D21CB" w:rsidP="0054024A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402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5.3) Conclusão do Edital de premiação do TCC;</w:t>
            </w:r>
          </w:p>
          <w:p w:rsidR="004D21CB" w:rsidRPr="0054024A" w:rsidRDefault="004D21CB" w:rsidP="0054024A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402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5.4) Oficio para 2º Premiação de Melhores Práticas Docentes;</w:t>
            </w:r>
          </w:p>
          <w:p w:rsidR="004D21CB" w:rsidRPr="0054024A" w:rsidRDefault="004D21CB" w:rsidP="0054024A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402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5.5) Reprogramação do Plano de ação da CEF;</w:t>
            </w:r>
          </w:p>
          <w:p w:rsidR="004D21CB" w:rsidRPr="0054024A" w:rsidRDefault="004D21CB" w:rsidP="0054024A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402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5.6) Deliberação de procedimentos para Registros EAD. Retirado</w:t>
            </w:r>
          </w:p>
          <w:p w:rsidR="004D21CB" w:rsidRPr="0054024A" w:rsidRDefault="004D21CB" w:rsidP="0054024A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402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6) Extra pauta;</w:t>
            </w:r>
          </w:p>
          <w:p w:rsidR="004D21CB" w:rsidRPr="0054024A" w:rsidRDefault="004D21CB" w:rsidP="0054024A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402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6.1) Processo administrativo nº 1528164/2022 – Relatora Olinda Beatriz Meneghini;</w:t>
            </w:r>
          </w:p>
          <w:p w:rsidR="004D21CB" w:rsidRPr="0054024A" w:rsidRDefault="004D21CB" w:rsidP="0054024A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402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6.2) Ofício circular nº 024/2022-CAU/BR – Assunto: Cálculo de tempestividade e solicitações de cadastro de curso.</w:t>
            </w:r>
          </w:p>
          <w:p w:rsidR="004D21CB" w:rsidRPr="0054024A" w:rsidRDefault="004D21CB" w:rsidP="0054024A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402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6.3) Deliberação: Inclusão Processos 1503635/2022 e 1488441/2022 para reunião de julho da CEF-CAU/MS</w:t>
            </w:r>
          </w:p>
          <w:p w:rsidR="006D036B" w:rsidRPr="0054024A" w:rsidRDefault="004D21CB" w:rsidP="0054024A">
            <w:pPr>
              <w:jc w:val="both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54024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7) Encerramento;</w:t>
            </w:r>
          </w:p>
        </w:tc>
      </w:tr>
    </w:tbl>
    <w:p w:rsidR="00611C81" w:rsidRPr="0054024A" w:rsidRDefault="0054024A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lastRenderedPageBreak/>
        <w:br w:type="textWrapping" w:clear="all"/>
      </w:r>
      <w:r w:rsidR="00764E91" w:rsidRPr="0054024A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t>ORDEM DO DIA</w:t>
      </w:r>
      <w:r w:rsidR="00764E91" w:rsidRPr="0054024A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195244" w:rsidRPr="0054024A" w:rsidTr="00D01285">
        <w:trPr>
          <w:trHeight w:val="423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54024A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54024A" w:rsidRDefault="00D01285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94</w:t>
            </w:r>
            <w:r w:rsidR="006E3DFF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  <w:r w:rsidR="005F0AFC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</w:tc>
      </w:tr>
      <w:tr w:rsidR="00195244" w:rsidRPr="0054024A" w:rsidTr="00D01285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54024A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54024A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54024A" w:rsidTr="00D01285">
        <w:trPr>
          <w:trHeight w:val="28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54024A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95244"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54024A" w:rsidRDefault="005800D6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Olinda Beatriz Trevisol Meneghini</w:t>
            </w:r>
          </w:p>
        </w:tc>
      </w:tr>
      <w:tr w:rsidR="006E3DFF" w:rsidRPr="0054024A" w:rsidTr="00D01285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E3DFF" w:rsidRPr="0054024A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E3DFF" w:rsidRPr="0054024A" w:rsidRDefault="00D7259E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5800D6" w:rsidRPr="0054024A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</w:t>
            </w:r>
            <w:r w:rsidR="00085850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 súmula em epigrafe foi enviada</w:t>
            </w:r>
            <w:r w:rsidR="006E3DFF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antecipadamente por e-mail aos membros e </w:t>
            </w:r>
            <w:r w:rsidR="00DD4BFE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6E3DFF" w:rsidRPr="0054024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6E3DFF" w:rsidRPr="0054024A" w:rsidTr="00D01285">
        <w:trPr>
          <w:trHeight w:val="36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:rsidR="006E3DFF" w:rsidRPr="0054024A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:rsidR="006E3DFF" w:rsidRPr="0054024A" w:rsidRDefault="00D01285" w:rsidP="009D269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94</w:t>
            </w:r>
            <w:r w:rsidR="006E3DFF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º Súmula CEF CAU </w:t>
            </w:r>
            <w:r w:rsidR="00090DD1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foi aprovado </w:t>
            </w:r>
            <w:r w:rsidR="009D2698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por unanimidade </w:t>
            </w:r>
            <w:r w:rsidR="00090DD1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dos</w:t>
            </w:r>
            <w:r w:rsidR="006E3DFF" w:rsidRPr="0054024A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conselheiros presentes, sem ressalvas.</w:t>
            </w:r>
          </w:p>
        </w:tc>
      </w:tr>
    </w:tbl>
    <w:p w:rsidR="00D738C8" w:rsidRPr="0054024A" w:rsidRDefault="00D738C8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183" w:type="dxa"/>
        <w:tblInd w:w="137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0"/>
        <w:gridCol w:w="6923"/>
      </w:tblGrid>
      <w:tr w:rsidR="00D01285" w:rsidRPr="0054024A" w:rsidTr="00296C72">
        <w:trPr>
          <w:trHeight w:val="273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54024A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4024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01285" w:rsidRPr="0054024A" w:rsidRDefault="00D01285" w:rsidP="00D675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24A">
              <w:rPr>
                <w:rFonts w:ascii="Arial" w:hAnsi="Arial" w:cs="Arial"/>
                <w:sz w:val="20"/>
                <w:szCs w:val="20"/>
              </w:rPr>
              <w:t>Solicitação de registros profissionais provisórios;</w:t>
            </w:r>
          </w:p>
        </w:tc>
      </w:tr>
      <w:tr w:rsidR="00E90BD1" w:rsidRPr="00E90BD1" w:rsidTr="00296C72">
        <w:trPr>
          <w:trHeight w:val="120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90BD1" w:rsidRPr="00E90BD1" w:rsidTr="00296C72">
        <w:trPr>
          <w:trHeight w:val="273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E90BD1" w:rsidRPr="00E90BD1" w:rsidTr="00296C72">
        <w:trPr>
          <w:trHeight w:val="505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01285" w:rsidRPr="00E90BD1" w:rsidRDefault="00D01285" w:rsidP="00D0128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A coordenadora</w:t>
            </w:r>
            <w:r w:rsidR="008D0787"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destaca 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a solicitação de </w:t>
            </w:r>
            <w:r w:rsidRPr="00E90BD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>12 (doze) registros profissionais provisórios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 e </w:t>
            </w:r>
            <w:r w:rsidR="008D0787"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 xml:space="preserve">que 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  <w:lang w:eastAsia="pt-BR"/>
              </w:rPr>
              <w:t>foi enviado antecipadamente por e-mail aos membros</w:t>
            </w:r>
            <w:r w:rsidRPr="00E90BD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t-BR"/>
              </w:rPr>
              <w:t xml:space="preserve"> </w:t>
            </w:r>
            <w:r w:rsidRPr="00E90BD1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E90BD1" w:rsidRPr="00E90BD1" w:rsidTr="00296C72">
        <w:trPr>
          <w:trHeight w:val="328"/>
        </w:trPr>
        <w:tc>
          <w:tcPr>
            <w:tcW w:w="2260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FC4DF0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2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01285" w:rsidRPr="00E90BD1" w:rsidRDefault="00191830" w:rsidP="00191830">
            <w:p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     1. </w:t>
            </w:r>
            <w:r w:rsidR="00D01285" w:rsidRPr="00E90BD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Deliberação n° 055/2021-2023 – 95ª CEF CAU/MS.</w:t>
            </w:r>
          </w:p>
        </w:tc>
      </w:tr>
    </w:tbl>
    <w:p w:rsidR="007C1795" w:rsidRPr="00E90BD1" w:rsidRDefault="007C1795" w:rsidP="00AE4967">
      <w:pPr>
        <w:pStyle w:val="SemEspaamento"/>
        <w:rPr>
          <w:rFonts w:ascii="Arial" w:hAnsi="Arial" w:cs="Arial"/>
          <w:sz w:val="4"/>
          <w:szCs w:val="4"/>
        </w:rPr>
      </w:pPr>
    </w:p>
    <w:p w:rsidR="007C1795" w:rsidRPr="00E90BD1" w:rsidRDefault="007C1795" w:rsidP="00AE4967">
      <w:pPr>
        <w:pStyle w:val="SemEspaamento"/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margin" w:tblpX="137" w:tblpY="-63"/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90BD1" w:rsidRPr="00E90BD1" w:rsidTr="009C59F2">
        <w:trPr>
          <w:trHeight w:val="280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D01285" w:rsidP="00D0128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01285" w:rsidRPr="00E90BD1" w:rsidRDefault="00D01285" w:rsidP="00D0128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Solicitação de registros profissionais definitivos;</w:t>
            </w:r>
          </w:p>
        </w:tc>
      </w:tr>
      <w:tr w:rsidR="00E90BD1" w:rsidRPr="00E90BD1" w:rsidTr="009C59F2">
        <w:trPr>
          <w:trHeight w:val="123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D01285" w:rsidP="00D0128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01285" w:rsidRPr="00E90BD1" w:rsidRDefault="00D01285" w:rsidP="00D0128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90BD1" w:rsidRPr="00E90BD1" w:rsidTr="009C59F2">
        <w:trPr>
          <w:trHeight w:val="280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D01285" w:rsidP="00D0128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01285" w:rsidRPr="00E90BD1" w:rsidRDefault="00D01285" w:rsidP="00D0128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E90BD1" w:rsidRPr="00E90BD1" w:rsidTr="009C59F2">
        <w:trPr>
          <w:trHeight w:val="280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D01285" w:rsidP="00D0128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01285" w:rsidRPr="00E90BD1" w:rsidRDefault="00D01285" w:rsidP="00D0128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pacing w:val="4"/>
                <w:sz w:val="20"/>
                <w:szCs w:val="20"/>
              </w:rPr>
              <w:t xml:space="preserve">A coordenadora </w:t>
            </w:r>
            <w:r w:rsidR="008D0787" w:rsidRPr="00E90BD1">
              <w:rPr>
                <w:rFonts w:ascii="Arial" w:hAnsi="Arial" w:cs="Arial"/>
                <w:spacing w:val="4"/>
                <w:sz w:val="20"/>
                <w:szCs w:val="20"/>
              </w:rPr>
              <w:t xml:space="preserve">destaca </w:t>
            </w:r>
            <w:r w:rsidRPr="00E90BD1">
              <w:rPr>
                <w:rFonts w:ascii="Arial" w:hAnsi="Arial" w:cs="Arial"/>
                <w:spacing w:val="4"/>
                <w:sz w:val="20"/>
                <w:szCs w:val="20"/>
              </w:rPr>
              <w:t xml:space="preserve">a solicitação de </w:t>
            </w: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 (quatorze) registros profissionais provisórios</w:t>
            </w:r>
            <w:r w:rsidRPr="00E90BD1">
              <w:rPr>
                <w:rFonts w:ascii="Arial" w:hAnsi="Arial" w:cs="Arial"/>
                <w:spacing w:val="4"/>
                <w:sz w:val="20"/>
                <w:szCs w:val="20"/>
              </w:rPr>
              <w:t xml:space="preserve"> e </w:t>
            </w:r>
            <w:r w:rsidR="008D0787" w:rsidRPr="00E90BD1">
              <w:rPr>
                <w:rFonts w:ascii="Arial" w:hAnsi="Arial" w:cs="Arial"/>
                <w:spacing w:val="4"/>
                <w:sz w:val="20"/>
                <w:szCs w:val="20"/>
              </w:rPr>
              <w:t xml:space="preserve">que </w:t>
            </w:r>
            <w:r w:rsidRPr="00E90BD1">
              <w:rPr>
                <w:rFonts w:ascii="Arial" w:hAnsi="Arial" w:cs="Arial"/>
                <w:spacing w:val="4"/>
                <w:sz w:val="20"/>
                <w:szCs w:val="20"/>
              </w:rPr>
              <w:t>foi enviado antecipadamente por e-mail aos membros</w:t>
            </w: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E90BD1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E90BD1" w:rsidRPr="00E90BD1" w:rsidTr="009C59F2">
        <w:trPr>
          <w:trHeight w:val="336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FC4DF0" w:rsidP="00D01285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D01285" w:rsidRPr="00191830" w:rsidRDefault="00191830" w:rsidP="00191830">
            <w:pPr>
              <w:spacing w:before="60" w:after="60"/>
              <w:ind w:left="3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1. </w:t>
            </w:r>
            <w:r w:rsidR="00D01285" w:rsidRPr="0019183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Deliberação n° 056/2021-2023–95ª CEF CAU/MS.</w:t>
            </w:r>
          </w:p>
        </w:tc>
      </w:tr>
    </w:tbl>
    <w:p w:rsidR="007C1795" w:rsidRPr="00E90BD1" w:rsidRDefault="007C1795" w:rsidP="00AE4967">
      <w:pPr>
        <w:pStyle w:val="SemEspaamen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137" w:tblpY="-7"/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90BD1" w:rsidRPr="00E90BD1" w:rsidTr="0054024A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4024A" w:rsidRPr="00E90BD1" w:rsidRDefault="0054024A" w:rsidP="0054024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54024A" w:rsidRPr="00E90BD1" w:rsidRDefault="0054024A" w:rsidP="0054024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0BD1">
              <w:rPr>
                <w:rFonts w:ascii="Arial" w:hAnsi="Arial" w:cs="Arial"/>
                <w:color w:val="auto"/>
                <w:sz w:val="20"/>
                <w:szCs w:val="20"/>
              </w:rPr>
              <w:t>Relato da coordenadora no Encontro Nacional dos Coordenadores da CEF CAU BR;</w:t>
            </w:r>
          </w:p>
        </w:tc>
      </w:tr>
      <w:tr w:rsidR="00E90BD1" w:rsidRPr="00E90BD1" w:rsidTr="0054024A">
        <w:trPr>
          <w:trHeight w:val="123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4024A" w:rsidRPr="00E90BD1" w:rsidRDefault="0054024A" w:rsidP="0054024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54024A" w:rsidRPr="00E90BD1" w:rsidRDefault="0054024A" w:rsidP="0054024A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90BD1" w:rsidRPr="00E90BD1" w:rsidTr="0054024A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4024A" w:rsidRPr="00E90BD1" w:rsidRDefault="0054024A" w:rsidP="0054024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54024A" w:rsidRPr="00E90BD1" w:rsidRDefault="0054024A" w:rsidP="0054024A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E90BD1" w:rsidRPr="00E90BD1" w:rsidTr="0054024A">
        <w:trPr>
          <w:trHeight w:val="280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4024A" w:rsidRPr="00E90BD1" w:rsidRDefault="0054024A" w:rsidP="0054024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54024A" w:rsidRPr="00E90BD1" w:rsidRDefault="0054024A" w:rsidP="0054024A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E90BD1">
              <w:rPr>
                <w:rFonts w:ascii="Arial" w:hAnsi="Arial" w:cs="Arial"/>
                <w:color w:val="auto"/>
                <w:sz w:val="20"/>
                <w:szCs w:val="20"/>
              </w:rPr>
              <w:t xml:space="preserve">A coordenadora realiza o relato da participação no Encontro Nacional dos Coordenadores da CEF CAU BR, realizado nos dias 26 e 27 de maio de 2022, em São Paulo/SP, onde se discutiu </w:t>
            </w:r>
            <w:r w:rsidRPr="00E90BD1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sobre ensino remoto e ensino à distância do curso de arquitetura e urbanismo e suas perspectivas; Após, a comissão CEF/MS discutiu sobre o curso arquitetura e urbanismo EAD e os registros de profissionais no Conselho. </w:t>
            </w:r>
          </w:p>
        </w:tc>
      </w:tr>
      <w:tr w:rsidR="00E90BD1" w:rsidRPr="00E90BD1" w:rsidTr="0054024A">
        <w:trPr>
          <w:trHeight w:val="155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54024A" w:rsidRPr="00E90BD1" w:rsidRDefault="0054024A" w:rsidP="0054024A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54024A" w:rsidRPr="00E90BD1" w:rsidRDefault="0054024A" w:rsidP="0054024A">
            <w:pPr>
              <w:pStyle w:val="Default"/>
              <w:ind w:left="405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90BD1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1.   </w:t>
            </w:r>
            <w:r w:rsidRPr="00E90BD1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 Não houve necessidade.</w:t>
            </w:r>
          </w:p>
        </w:tc>
      </w:tr>
    </w:tbl>
    <w:p w:rsidR="007C1795" w:rsidRPr="00E90BD1" w:rsidRDefault="007C1795" w:rsidP="00AE4967">
      <w:pPr>
        <w:pStyle w:val="SemEspaamento"/>
        <w:rPr>
          <w:rFonts w:ascii="Arial" w:hAnsi="Arial" w:cs="Arial"/>
          <w:sz w:val="20"/>
          <w:szCs w:val="20"/>
        </w:rPr>
      </w:pPr>
    </w:p>
    <w:p w:rsidR="003B7F3B" w:rsidRPr="00E90BD1" w:rsidRDefault="003B7F3B" w:rsidP="00C31D11">
      <w:pPr>
        <w:jc w:val="both"/>
        <w:rPr>
          <w:rFonts w:ascii="Arial" w:hAnsi="Arial" w:cs="Arial"/>
          <w:b/>
          <w:sz w:val="20"/>
          <w:szCs w:val="20"/>
        </w:rPr>
      </w:pPr>
    </w:p>
    <w:p w:rsidR="00934375" w:rsidRPr="00E90BD1" w:rsidRDefault="00934375" w:rsidP="00C31D1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E90BD1" w:rsidRPr="00E90BD1" w:rsidTr="005D77DD">
        <w:trPr>
          <w:trHeight w:val="22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E90BD1" w:rsidRDefault="00264DB6" w:rsidP="0093437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5</w:t>
            </w:r>
            <w:r w:rsidR="003B7F3B"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E90BD1" w:rsidRDefault="0054024A" w:rsidP="00576ED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Conclusão do Edital de premiação do TCC;</w:t>
            </w:r>
          </w:p>
        </w:tc>
      </w:tr>
      <w:tr w:rsidR="00E90BD1" w:rsidRPr="00E90BD1" w:rsidTr="005D77DD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E90BD1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E90BD1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90BD1" w:rsidRPr="00E90BD1" w:rsidTr="005D77D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E90BD1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E90BD1" w:rsidRDefault="00315E1D" w:rsidP="00195694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A</w:t>
            </w:r>
            <w:r w:rsidR="00040840" w:rsidRPr="00E90BD1">
              <w:rPr>
                <w:rFonts w:ascii="Arial" w:hAnsi="Arial" w:cs="Arial"/>
                <w:sz w:val="20"/>
                <w:szCs w:val="20"/>
              </w:rPr>
              <w:t>pós discussões a</w:t>
            </w:r>
            <w:r w:rsidRPr="00E90BD1">
              <w:rPr>
                <w:rFonts w:ascii="Arial" w:hAnsi="Arial" w:cs="Arial"/>
                <w:sz w:val="20"/>
                <w:szCs w:val="20"/>
              </w:rPr>
              <w:t xml:space="preserve"> Comissão </w:t>
            </w:r>
            <w:r w:rsidR="00296C72" w:rsidRPr="00E90BD1">
              <w:rPr>
                <w:rFonts w:ascii="Arial" w:hAnsi="Arial" w:cs="Arial"/>
                <w:sz w:val="20"/>
                <w:szCs w:val="20"/>
              </w:rPr>
              <w:t xml:space="preserve">realizou a conclusão </w:t>
            </w:r>
            <w:r w:rsidR="00040840" w:rsidRPr="00E90BD1">
              <w:rPr>
                <w:rFonts w:ascii="Arial" w:hAnsi="Arial" w:cs="Arial"/>
                <w:sz w:val="20"/>
                <w:szCs w:val="20"/>
              </w:rPr>
              <w:t xml:space="preserve">e aprovação do Edital de premiação do TCC, </w:t>
            </w:r>
            <w:r w:rsidR="00195694" w:rsidRPr="00E90BD1">
              <w:rPr>
                <w:rFonts w:ascii="Arial" w:hAnsi="Arial" w:cs="Arial"/>
                <w:sz w:val="20"/>
                <w:szCs w:val="20"/>
              </w:rPr>
              <w:t xml:space="preserve">solicitação através da C.I à presidência </w:t>
            </w:r>
            <w:r w:rsidR="00040840" w:rsidRPr="00E90BD1">
              <w:rPr>
                <w:rFonts w:ascii="Arial" w:hAnsi="Arial" w:cs="Arial"/>
                <w:sz w:val="20"/>
                <w:szCs w:val="20"/>
              </w:rPr>
              <w:t xml:space="preserve">para compra dos itens para premiação </w:t>
            </w:r>
            <w:r w:rsidR="005D33FF" w:rsidRPr="00E90BD1">
              <w:rPr>
                <w:rFonts w:ascii="Arial" w:hAnsi="Arial" w:cs="Arial"/>
                <w:sz w:val="20"/>
                <w:szCs w:val="20"/>
              </w:rPr>
              <w:t>do 1</w:t>
            </w:r>
            <w:proofErr w:type="gramStart"/>
            <w:r w:rsidR="005D33FF" w:rsidRPr="00E90BD1">
              <w:rPr>
                <w:rFonts w:ascii="Arial" w:hAnsi="Arial" w:cs="Arial"/>
                <w:sz w:val="20"/>
                <w:szCs w:val="20"/>
              </w:rPr>
              <w:t>º ,</w:t>
            </w:r>
            <w:proofErr w:type="gramEnd"/>
            <w:r w:rsidR="005D33FF" w:rsidRPr="00E90BD1">
              <w:rPr>
                <w:rFonts w:ascii="Arial" w:hAnsi="Arial" w:cs="Arial"/>
                <w:sz w:val="20"/>
                <w:szCs w:val="20"/>
              </w:rPr>
              <w:t xml:space="preserve"> 2º e 3º lugar presente no Edital de premiação do TCC.</w:t>
            </w:r>
            <w:r w:rsidR="00040840" w:rsidRPr="00E90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90BD1" w:rsidRPr="00E90BD1" w:rsidTr="005D77DD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E90BD1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E90BD1" w:rsidRDefault="00E90BD1" w:rsidP="00195694">
            <w:pPr>
              <w:pStyle w:val="PargrafodaLista"/>
              <w:numPr>
                <w:ilvl w:val="0"/>
                <w:numId w:val="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C.I a presidência</w:t>
            </w:r>
            <w:r w:rsidR="005D33FF"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 a</w:t>
            </w:r>
            <w:r w:rsidR="00040840"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95694"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solicitação </w:t>
            </w:r>
            <w:r w:rsidR="00195694" w:rsidRPr="00E90BD1">
              <w:rPr>
                <w:rFonts w:ascii="Arial" w:hAnsi="Arial" w:cs="Arial"/>
                <w:sz w:val="20"/>
                <w:szCs w:val="20"/>
              </w:rPr>
              <w:t xml:space="preserve">para compra dos itens para premiação </w:t>
            </w:r>
            <w:r w:rsidR="005D33FF" w:rsidRPr="00E90BD1">
              <w:rPr>
                <w:rFonts w:ascii="Arial" w:hAnsi="Arial" w:cs="Arial"/>
                <w:sz w:val="20"/>
                <w:szCs w:val="20"/>
              </w:rPr>
              <w:t>do 1</w:t>
            </w:r>
            <w:proofErr w:type="gramStart"/>
            <w:r w:rsidR="005D33FF" w:rsidRPr="00E90BD1">
              <w:rPr>
                <w:rFonts w:ascii="Arial" w:hAnsi="Arial" w:cs="Arial"/>
                <w:sz w:val="20"/>
                <w:szCs w:val="20"/>
              </w:rPr>
              <w:t>º ,</w:t>
            </w:r>
            <w:proofErr w:type="gramEnd"/>
            <w:r w:rsidR="005D33FF" w:rsidRPr="00E90BD1">
              <w:rPr>
                <w:rFonts w:ascii="Arial" w:hAnsi="Arial" w:cs="Arial"/>
                <w:sz w:val="20"/>
                <w:szCs w:val="20"/>
              </w:rPr>
              <w:t xml:space="preserve"> 2º e 3º lugar, presente no Edital de premiação do TCC.</w:t>
            </w:r>
          </w:p>
        </w:tc>
      </w:tr>
    </w:tbl>
    <w:p w:rsidR="00815A6D" w:rsidRPr="00E90BD1" w:rsidRDefault="00815A6D" w:rsidP="00C31D1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E90BD1" w:rsidRPr="00E90BD1" w:rsidTr="00D67529">
        <w:trPr>
          <w:trHeight w:val="22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54024A" w:rsidRPr="00E90BD1" w:rsidRDefault="0054024A" w:rsidP="00D6752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6.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54024A" w:rsidRPr="00E90BD1" w:rsidRDefault="0054024A" w:rsidP="00D675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Oficio para 2º Premiação de Melhores Práticas Docentes;</w:t>
            </w:r>
          </w:p>
        </w:tc>
      </w:tr>
      <w:tr w:rsidR="00E90BD1" w:rsidRPr="00E90BD1" w:rsidTr="00D67529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54024A" w:rsidRPr="00E90BD1" w:rsidRDefault="0054024A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54024A" w:rsidRPr="00E90BD1" w:rsidRDefault="0054024A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90BD1" w:rsidRPr="00E90BD1" w:rsidTr="00D67529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54024A" w:rsidRPr="00E90BD1" w:rsidRDefault="0054024A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54024A" w:rsidRPr="00E90BD1" w:rsidRDefault="0054024A" w:rsidP="00D67529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 xml:space="preserve">A Comissão decidiu após concluir </w:t>
            </w:r>
            <w:r w:rsidR="00D051F6" w:rsidRPr="00E90BD1">
              <w:rPr>
                <w:rFonts w:ascii="Arial" w:hAnsi="Arial" w:cs="Arial"/>
                <w:sz w:val="20"/>
                <w:szCs w:val="20"/>
              </w:rPr>
              <w:t>e aprovação d</w:t>
            </w:r>
            <w:r w:rsidRPr="00E90BD1">
              <w:rPr>
                <w:rFonts w:ascii="Arial" w:hAnsi="Arial" w:cs="Arial"/>
                <w:sz w:val="20"/>
                <w:szCs w:val="20"/>
              </w:rPr>
              <w:t xml:space="preserve">o Edital do Concurso de TCC e Boas práticas docentes nas faculdades, será encaminhado o ofícios aos coordenadores das faculdades. </w:t>
            </w:r>
          </w:p>
        </w:tc>
      </w:tr>
      <w:tr w:rsidR="00E90BD1" w:rsidRPr="00E90BD1" w:rsidTr="00D67529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54024A" w:rsidRPr="00E90BD1" w:rsidRDefault="0054024A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54024A" w:rsidRPr="00E90BD1" w:rsidRDefault="0054024A" w:rsidP="0054024A">
            <w:pPr>
              <w:pStyle w:val="PargrafodaLista"/>
              <w:numPr>
                <w:ilvl w:val="0"/>
                <w:numId w:val="17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:rsidR="0054024A" w:rsidRPr="00E90BD1" w:rsidRDefault="0054024A" w:rsidP="00C31D1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0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15"/>
        <w:gridCol w:w="6889"/>
      </w:tblGrid>
      <w:tr w:rsidR="00E90BD1" w:rsidRPr="00E90BD1" w:rsidTr="002458C8">
        <w:trPr>
          <w:trHeight w:val="335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E90BD1" w:rsidRDefault="0054024A" w:rsidP="003316E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7</w:t>
            </w:r>
            <w:r w:rsidR="00786F62"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6889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E90BD1" w:rsidRDefault="0054024A" w:rsidP="002458C8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Reprogramação do Plano de ação da CEF;</w:t>
            </w:r>
          </w:p>
        </w:tc>
      </w:tr>
      <w:tr w:rsidR="00E90BD1" w:rsidRPr="00E90BD1" w:rsidTr="00424B23">
        <w:trPr>
          <w:trHeight w:val="362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E90BD1" w:rsidRDefault="00576ED3" w:rsidP="003316E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E90BD1" w:rsidRDefault="00576ED3" w:rsidP="003316E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E90BD1" w:rsidRPr="00E90BD1" w:rsidTr="00424B23">
        <w:trPr>
          <w:trHeight w:val="35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E90BD1" w:rsidRDefault="00786F62" w:rsidP="003316E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E90BD1" w:rsidRDefault="002458C8" w:rsidP="008951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Comissão irá analisar as ações para reprogramação do Plano de ação da CEF </w:t>
            </w:r>
            <w:r w:rsidR="0089511B"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 encaminhar ao Planejamento do CAU MS, até o dia 17 de junho de 2022</w:t>
            </w: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90BD1" w:rsidRPr="00E90BD1" w:rsidTr="00424B23">
        <w:trPr>
          <w:trHeight w:val="213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6F62" w:rsidRPr="00E90BD1" w:rsidRDefault="00786F62" w:rsidP="003316E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6F62" w:rsidRPr="00E90BD1" w:rsidRDefault="00E50A47" w:rsidP="002458C8">
            <w:pPr>
              <w:ind w:right="-568" w:hanging="2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64BC9" w:rsidRPr="00E90BD1">
              <w:rPr>
                <w:rFonts w:ascii="Arial" w:hAnsi="Arial" w:cs="Arial"/>
                <w:sz w:val="20"/>
                <w:szCs w:val="20"/>
              </w:rPr>
              <w:t>1.</w:t>
            </w:r>
            <w:r w:rsidRPr="00E90B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58C8"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Comissão irá analisar reprogramação do Plano de ação da CEF,</w:t>
            </w:r>
          </w:p>
          <w:p w:rsidR="002458C8" w:rsidRPr="00E90BD1" w:rsidRDefault="0089511B" w:rsidP="002458C8">
            <w:pPr>
              <w:ind w:right="-568" w:hanging="2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proofErr w:type="gramEnd"/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encaminhar ao Planejamento do CAU MS, até o dia 17 de junho de 2022.</w:t>
            </w:r>
          </w:p>
        </w:tc>
      </w:tr>
    </w:tbl>
    <w:p w:rsidR="00780F87" w:rsidRPr="00E90BD1" w:rsidRDefault="00780F87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0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15"/>
        <w:gridCol w:w="6889"/>
      </w:tblGrid>
      <w:tr w:rsidR="00E90BD1" w:rsidRPr="00E90BD1" w:rsidTr="002A1049">
        <w:trPr>
          <w:trHeight w:val="605"/>
          <w:jc w:val="center"/>
        </w:trPr>
        <w:tc>
          <w:tcPr>
            <w:tcW w:w="231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0F87" w:rsidRPr="00E90BD1" w:rsidRDefault="00040840" w:rsidP="002A104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8</w:t>
            </w:r>
            <w:r w:rsidR="00780F87"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EXTRA-PAUTA</w:t>
            </w:r>
          </w:p>
        </w:tc>
        <w:tc>
          <w:tcPr>
            <w:tcW w:w="6889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0F87" w:rsidRPr="00E90BD1" w:rsidRDefault="00780F87" w:rsidP="002A1049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Deliberação: Inclusão Processos 1503635/2022 e 1488441/2022 para reunião de julho da CEF-CAU/MS.</w:t>
            </w:r>
          </w:p>
        </w:tc>
      </w:tr>
      <w:tr w:rsidR="00E90BD1" w:rsidRPr="00E90BD1" w:rsidTr="002A1049">
        <w:trPr>
          <w:trHeight w:val="362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0F87" w:rsidRPr="00E90BD1" w:rsidRDefault="00780F87" w:rsidP="002A104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0F87" w:rsidRPr="00E90BD1" w:rsidRDefault="00780F87" w:rsidP="002A104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CAU/MS</w:t>
            </w:r>
          </w:p>
        </w:tc>
      </w:tr>
      <w:tr w:rsidR="00E90BD1" w:rsidRPr="00E90BD1" w:rsidTr="002A1049">
        <w:trPr>
          <w:trHeight w:val="657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0F87" w:rsidRPr="00E90BD1" w:rsidRDefault="00780F87" w:rsidP="002A104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0F87" w:rsidRPr="00E90BD1" w:rsidRDefault="00780F87" w:rsidP="002A1049">
            <w:pPr>
              <w:ind w:right="51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Após discussão a Comissão decidiu por: </w:t>
            </w:r>
            <w:r w:rsidRPr="00E90BD1">
              <w:rPr>
                <w:rFonts w:ascii="Arial" w:hAnsi="Arial" w:cs="Arial"/>
                <w:sz w:val="20"/>
                <w:szCs w:val="20"/>
              </w:rPr>
              <w:t>Incluir, com a concordância da Conselheira Relatora, os processos administrativos nº 1503635/2022 e 1488441/2022, na pauta da Reunião Ordinária de julho de 2022, para julgamento.</w:t>
            </w:r>
          </w:p>
        </w:tc>
      </w:tr>
      <w:tr w:rsidR="00E90BD1" w:rsidRPr="00E90BD1" w:rsidTr="002A1049">
        <w:trPr>
          <w:trHeight w:val="213"/>
          <w:jc w:val="center"/>
        </w:trPr>
        <w:tc>
          <w:tcPr>
            <w:tcW w:w="231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80F87" w:rsidRPr="00E90BD1" w:rsidRDefault="00780F87" w:rsidP="002A104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780F87" w:rsidRPr="00E90BD1" w:rsidRDefault="00780F87" w:rsidP="002A1049">
            <w:pPr>
              <w:ind w:left="429" w:right="51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1. Aprovação das Deliberações n° 057/2021-2023–95ª CEF CAU/MS e nº 058/2021-2023 – 95ª CEF CAU MS.</w:t>
            </w:r>
          </w:p>
        </w:tc>
      </w:tr>
    </w:tbl>
    <w:p w:rsidR="00780F87" w:rsidRPr="00E90BD1" w:rsidRDefault="00780F87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28"/>
        <w:gridCol w:w="6881"/>
      </w:tblGrid>
      <w:tr w:rsidR="00E90BD1" w:rsidRPr="00E90BD1" w:rsidTr="00D67529">
        <w:trPr>
          <w:trHeight w:val="481"/>
          <w:jc w:val="center"/>
        </w:trPr>
        <w:tc>
          <w:tcPr>
            <w:tcW w:w="2328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040840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9</w:t>
            </w:r>
            <w:r w:rsidR="00D01285"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54024A"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EXTRA-PAUTA</w:t>
            </w:r>
          </w:p>
        </w:tc>
        <w:tc>
          <w:tcPr>
            <w:tcW w:w="6881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D01285" w:rsidRPr="00E90BD1" w:rsidRDefault="0054024A" w:rsidP="0054024A">
            <w:pPr>
              <w:ind w:left="-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Ofício circular nº 024/2022-CAU/BR – Assunto: Cálculo de tempestividade e solicitações de cadastro de curso;</w:t>
            </w:r>
          </w:p>
        </w:tc>
      </w:tr>
      <w:tr w:rsidR="00E90BD1" w:rsidRPr="00E90BD1" w:rsidTr="00D67529">
        <w:trPr>
          <w:trHeight w:val="284"/>
          <w:jc w:val="center"/>
        </w:trPr>
        <w:tc>
          <w:tcPr>
            <w:tcW w:w="232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8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</w:p>
        </w:tc>
      </w:tr>
      <w:tr w:rsidR="00E90BD1" w:rsidRPr="00E90BD1" w:rsidTr="00D67529">
        <w:trPr>
          <w:trHeight w:val="280"/>
          <w:jc w:val="center"/>
        </w:trPr>
        <w:tc>
          <w:tcPr>
            <w:tcW w:w="232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8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D01285" w:rsidRPr="00E90BD1" w:rsidRDefault="00D01285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recepciona a correspondência em epigrafe já encaminhada antecipadamente por e-mail para conhecimento da Comissão. </w:t>
            </w:r>
          </w:p>
        </w:tc>
      </w:tr>
      <w:tr w:rsidR="00040840" w:rsidRPr="00E90BD1" w:rsidTr="00D67529">
        <w:trPr>
          <w:trHeight w:val="280"/>
          <w:jc w:val="center"/>
        </w:trPr>
        <w:tc>
          <w:tcPr>
            <w:tcW w:w="2328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040840" w:rsidRPr="00E90BD1" w:rsidRDefault="00040840" w:rsidP="00D6752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881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:rsidR="00040840" w:rsidRPr="00E90BD1" w:rsidRDefault="00040840" w:rsidP="00D6752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1. Não houve necessidade.</w:t>
            </w:r>
          </w:p>
        </w:tc>
      </w:tr>
    </w:tbl>
    <w:p w:rsidR="0054024A" w:rsidRPr="00E90BD1" w:rsidRDefault="00135305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  <w:r w:rsidRPr="00E90BD1">
        <w:rPr>
          <w:rFonts w:ascii="Arial" w:hAnsi="Arial" w:cs="Arial"/>
          <w:sz w:val="20"/>
          <w:szCs w:val="20"/>
        </w:rPr>
        <w:t xml:space="preserve">       </w:t>
      </w:r>
      <w:r w:rsidR="00576CB3" w:rsidRPr="00E90BD1">
        <w:rPr>
          <w:rFonts w:ascii="Arial" w:hAnsi="Arial" w:cs="Arial"/>
          <w:sz w:val="20"/>
          <w:szCs w:val="20"/>
        </w:rPr>
        <w:t xml:space="preserve">                   </w:t>
      </w:r>
    </w:p>
    <w:tbl>
      <w:tblPr>
        <w:tblpPr w:leftFromText="141" w:rightFromText="141" w:vertAnchor="text" w:horzAnchor="margin" w:tblpX="137" w:tblpY="-63"/>
        <w:tblW w:w="920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90BD1" w:rsidRPr="00E90BD1" w:rsidTr="002A1049">
        <w:trPr>
          <w:trHeight w:val="280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040840" w:rsidRPr="00E90BD1" w:rsidRDefault="00040840" w:rsidP="002A104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10.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EXTRA-PAUTA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040840" w:rsidRPr="00E90BD1" w:rsidRDefault="00040840" w:rsidP="002A104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Processo administrativo nº </w:t>
            </w:r>
            <w:r w:rsidRPr="00E90BD1">
              <w:rPr>
                <w:rFonts w:ascii="Arial" w:hAnsi="Arial" w:cs="Arial"/>
                <w:sz w:val="20"/>
                <w:szCs w:val="20"/>
              </w:rPr>
              <w:t>1528164/2022;</w:t>
            </w:r>
          </w:p>
        </w:tc>
      </w:tr>
      <w:tr w:rsidR="00E90BD1" w:rsidRPr="00E90BD1" w:rsidTr="002A1049">
        <w:trPr>
          <w:trHeight w:val="123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040840" w:rsidRPr="00E90BD1" w:rsidRDefault="00040840" w:rsidP="002A104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040840" w:rsidRPr="00E90BD1" w:rsidRDefault="00040840" w:rsidP="002A104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90BD1" w:rsidRPr="00E90BD1" w:rsidTr="002A1049">
        <w:trPr>
          <w:trHeight w:val="280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040840" w:rsidRPr="00E90BD1" w:rsidRDefault="00040840" w:rsidP="002A104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040840" w:rsidRPr="00E90BD1" w:rsidRDefault="00040840" w:rsidP="002A1049">
            <w:pPr>
              <w:ind w:hanging="2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E90BD1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E90BD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90BD1">
              <w:rPr>
                <w:rFonts w:ascii="Arial" w:eastAsia="Times New Roman" w:hAnsi="Arial" w:cs="Arial"/>
                <w:sz w:val="20"/>
                <w:szCs w:val="20"/>
              </w:rPr>
              <w:t>Meneghini</w:t>
            </w:r>
            <w:proofErr w:type="spellEnd"/>
          </w:p>
        </w:tc>
      </w:tr>
      <w:tr w:rsidR="00E90BD1" w:rsidRPr="00E90BD1" w:rsidTr="002A1049">
        <w:trPr>
          <w:trHeight w:val="280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040840" w:rsidRPr="00E90BD1" w:rsidRDefault="00040840" w:rsidP="002A104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040840" w:rsidRPr="00E90BD1" w:rsidRDefault="00040840" w:rsidP="002A1049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>A Comissão deliberou por</w:t>
            </w:r>
            <w:proofErr w:type="gramStart"/>
            <w:r w:rsidRPr="00E90BD1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E90BD1">
              <w:rPr>
                <w:rFonts w:ascii="Arial" w:hAnsi="Arial" w:cs="Arial"/>
                <w:i/>
                <w:sz w:val="20"/>
                <w:szCs w:val="20"/>
              </w:rPr>
              <w:t>“</w:t>
            </w:r>
            <w:proofErr w:type="gramEnd"/>
            <w:r w:rsidRPr="00E90BD1">
              <w:rPr>
                <w:rFonts w:ascii="Arial" w:hAnsi="Arial" w:cs="Arial"/>
                <w:i/>
                <w:sz w:val="20"/>
                <w:szCs w:val="20"/>
              </w:rPr>
              <w:t xml:space="preserve">Aprovar o parecer da conselheira relatora </w:t>
            </w:r>
            <w:r w:rsidRPr="00E90BD1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Olinda Beatriz </w:t>
            </w:r>
            <w:proofErr w:type="spellStart"/>
            <w:r w:rsidRPr="00E90BD1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Trevisol</w:t>
            </w:r>
            <w:proofErr w:type="spellEnd"/>
            <w:r w:rsidRPr="00E90BD1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90BD1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>Meneghini</w:t>
            </w:r>
            <w:proofErr w:type="spellEnd"/>
            <w:r w:rsidRPr="00E90BD1">
              <w:rPr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Pr="00E90BD1">
              <w:rPr>
                <w:rFonts w:ascii="Arial" w:hAnsi="Arial" w:cs="Arial"/>
                <w:i/>
                <w:sz w:val="20"/>
                <w:szCs w:val="20"/>
              </w:rPr>
              <w:t xml:space="preserve">pelo indeferimento do pedido de registro da interessada Nathalia </w:t>
            </w:r>
            <w:proofErr w:type="spellStart"/>
            <w:r w:rsidRPr="00E90BD1">
              <w:rPr>
                <w:rFonts w:ascii="Arial" w:hAnsi="Arial" w:cs="Arial"/>
                <w:i/>
                <w:sz w:val="20"/>
                <w:szCs w:val="20"/>
              </w:rPr>
              <w:t>Amarilla</w:t>
            </w:r>
            <w:proofErr w:type="spellEnd"/>
            <w:r w:rsidRPr="00E90B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90BD1">
              <w:rPr>
                <w:rFonts w:ascii="Arial" w:hAnsi="Arial" w:cs="Arial"/>
                <w:i/>
                <w:sz w:val="20"/>
                <w:szCs w:val="20"/>
              </w:rPr>
              <w:t>Villalba</w:t>
            </w:r>
            <w:proofErr w:type="spellEnd"/>
            <w:r w:rsidRPr="00E90BD1">
              <w:rPr>
                <w:rFonts w:ascii="Arial" w:hAnsi="Arial" w:cs="Arial"/>
                <w:i/>
                <w:sz w:val="20"/>
                <w:szCs w:val="20"/>
              </w:rPr>
              <w:t>, em razão da ausência de visto permanente no Brasil, conforme disposição do art. 5º da Resolução CAUBR n. 18, de 02 de março de 2012.”</w:t>
            </w:r>
            <w:r w:rsidRPr="00E90BD1">
              <w:rPr>
                <w:rFonts w:ascii="Arial" w:hAnsi="Arial" w:cs="Arial"/>
                <w:sz w:val="20"/>
                <w:szCs w:val="20"/>
              </w:rPr>
              <w:t>Aprovado por unanimidade dos votos.</w:t>
            </w:r>
          </w:p>
        </w:tc>
      </w:tr>
      <w:tr w:rsidR="00E90BD1" w:rsidRPr="00E90BD1" w:rsidTr="002A1049">
        <w:trPr>
          <w:trHeight w:val="336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040840" w:rsidRPr="00E90BD1" w:rsidRDefault="00040840" w:rsidP="002A1049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040840" w:rsidRPr="00E90BD1" w:rsidRDefault="00040840" w:rsidP="002A1049">
            <w:pPr>
              <w:pStyle w:val="PargrafodaLista"/>
              <w:numPr>
                <w:ilvl w:val="0"/>
                <w:numId w:val="19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E90BD1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Deliberação n° 059/2021-2023–95ª CEF CAU/MS.</w:t>
            </w:r>
          </w:p>
        </w:tc>
      </w:tr>
    </w:tbl>
    <w:p w:rsidR="00424B23" w:rsidRPr="00E90BD1" w:rsidRDefault="00424B23" w:rsidP="001C23DA">
      <w:pPr>
        <w:tabs>
          <w:tab w:val="left" w:pos="7155"/>
        </w:tabs>
        <w:rPr>
          <w:rFonts w:ascii="Arial" w:hAnsi="Arial" w:cs="Arial"/>
          <w:sz w:val="4"/>
          <w:szCs w:val="4"/>
        </w:rPr>
      </w:pPr>
      <w:r w:rsidRPr="00E90BD1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04" w:type="dxa"/>
        <w:jc w:val="center"/>
        <w:tblLook w:val="0020" w:firstRow="1" w:lastRow="0" w:firstColumn="0" w:lastColumn="0" w:noHBand="0" w:noVBand="0"/>
      </w:tblPr>
      <w:tblGrid>
        <w:gridCol w:w="2261"/>
        <w:gridCol w:w="6943"/>
      </w:tblGrid>
      <w:tr w:rsidR="00E90BD1" w:rsidRPr="00E90BD1" w:rsidTr="00CD4CDD">
        <w:trPr>
          <w:trHeight w:val="357"/>
          <w:jc w:val="center"/>
        </w:trPr>
        <w:tc>
          <w:tcPr>
            <w:tcW w:w="224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424B23" w:rsidRPr="00E90BD1" w:rsidRDefault="00040840" w:rsidP="00CD4C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 w:rsidRPr="00E90BD1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lastRenderedPageBreak/>
              <w:t>11</w:t>
            </w:r>
            <w:r w:rsidR="00424B23" w:rsidRPr="00E90BD1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6889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424B23" w:rsidRPr="00E90BD1" w:rsidRDefault="00424B23" w:rsidP="00CD4CDD">
            <w:pPr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BD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</w:t>
            </w:r>
            <w:r w:rsidRPr="00E90BD1">
              <w:rPr>
                <w:rFonts w:ascii="Arial" w:hAnsi="Arial" w:cs="Arial"/>
                <w:spacing w:val="4"/>
                <w:sz w:val="20"/>
                <w:szCs w:val="20"/>
              </w:rPr>
              <w:t>coordenadora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da CEF, Arquiteta </w:t>
            </w:r>
            <w:r w:rsidRPr="00E90BD1">
              <w:rPr>
                <w:rFonts w:ascii="Arial" w:eastAsia="Times New Roman" w:hAnsi="Arial" w:cs="Arial"/>
                <w:sz w:val="20"/>
                <w:szCs w:val="20"/>
              </w:rPr>
              <w:t>Olinda Beatriz Trevisol Meneghini</w:t>
            </w:r>
            <w:r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encerra a sessão as </w:t>
            </w:r>
            <w:r w:rsidR="0027427F" w:rsidRPr="00E90BD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16:10hs</w:t>
            </w:r>
          </w:p>
        </w:tc>
      </w:tr>
    </w:tbl>
    <w:p w:rsidR="00FD555D" w:rsidRPr="0054024A" w:rsidRDefault="00424B23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 w:rsidRPr="0054024A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</w:t>
      </w:r>
      <w:r w:rsidR="00FE1896" w:rsidRPr="0054024A">
        <w:rPr>
          <w:rFonts w:ascii="Arial" w:hAnsi="Arial" w:cs="Arial"/>
          <w:sz w:val="20"/>
          <w:szCs w:val="20"/>
        </w:rPr>
        <w:t xml:space="preserve">Campo Grande, </w:t>
      </w:r>
      <w:r w:rsidR="00B14320">
        <w:rPr>
          <w:rFonts w:ascii="Arial" w:hAnsi="Arial" w:cs="Arial"/>
          <w:sz w:val="20"/>
          <w:szCs w:val="20"/>
        </w:rPr>
        <w:t>11</w:t>
      </w:r>
      <w:r w:rsidR="008C67C6" w:rsidRPr="0054024A">
        <w:rPr>
          <w:rFonts w:ascii="Arial" w:hAnsi="Arial" w:cs="Arial"/>
          <w:sz w:val="20"/>
          <w:szCs w:val="20"/>
        </w:rPr>
        <w:t xml:space="preserve"> de </w:t>
      </w:r>
      <w:r w:rsidR="00B14320">
        <w:rPr>
          <w:rFonts w:ascii="Arial" w:hAnsi="Arial" w:cs="Arial"/>
          <w:sz w:val="20"/>
          <w:szCs w:val="20"/>
        </w:rPr>
        <w:t>jul</w:t>
      </w:r>
      <w:r w:rsidR="0027427F" w:rsidRPr="0054024A">
        <w:rPr>
          <w:rFonts w:ascii="Arial" w:hAnsi="Arial" w:cs="Arial"/>
          <w:sz w:val="20"/>
          <w:szCs w:val="20"/>
        </w:rPr>
        <w:t>ho</w:t>
      </w:r>
      <w:r w:rsidR="00C31D11" w:rsidRPr="0054024A">
        <w:rPr>
          <w:rFonts w:ascii="Arial" w:hAnsi="Arial" w:cs="Arial"/>
          <w:sz w:val="20"/>
          <w:szCs w:val="20"/>
        </w:rPr>
        <w:t xml:space="preserve"> </w:t>
      </w:r>
      <w:r w:rsidR="00EB3A6F" w:rsidRPr="0054024A">
        <w:rPr>
          <w:rFonts w:ascii="Arial" w:hAnsi="Arial" w:cs="Arial"/>
          <w:sz w:val="20"/>
          <w:szCs w:val="20"/>
        </w:rPr>
        <w:t>de 2022.</w:t>
      </w:r>
    </w:p>
    <w:tbl>
      <w:tblPr>
        <w:tblW w:w="9409" w:type="dxa"/>
        <w:tblInd w:w="-244" w:type="dxa"/>
        <w:tblLook w:val="04A0" w:firstRow="1" w:lastRow="0" w:firstColumn="1" w:lastColumn="0" w:noHBand="0" w:noVBand="1"/>
      </w:tblPr>
      <w:tblGrid>
        <w:gridCol w:w="352"/>
        <w:gridCol w:w="4326"/>
        <w:gridCol w:w="641"/>
        <w:gridCol w:w="3470"/>
        <w:gridCol w:w="620"/>
      </w:tblGrid>
      <w:tr w:rsidR="00294F25" w:rsidRPr="0054024A" w:rsidTr="00424B23">
        <w:trPr>
          <w:gridBefore w:val="1"/>
          <w:wBefore w:w="352" w:type="dxa"/>
          <w:trHeight w:val="84"/>
        </w:trPr>
        <w:tc>
          <w:tcPr>
            <w:tcW w:w="4967" w:type="dxa"/>
            <w:gridSpan w:val="2"/>
            <w:shd w:val="clear" w:color="auto" w:fill="auto"/>
          </w:tcPr>
          <w:p w:rsidR="00EE23E4" w:rsidRPr="0054024A" w:rsidRDefault="00EE23E4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393" w:rsidRPr="0054024A" w:rsidRDefault="005A2393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393" w:rsidRPr="0054024A" w:rsidRDefault="005A2393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B23" w:rsidRPr="0054024A" w:rsidRDefault="00424B23" w:rsidP="00294F25">
            <w:pPr>
              <w:rPr>
                <w:rFonts w:ascii="Arial" w:hAnsi="Arial" w:cs="Arial"/>
                <w:sz w:val="20"/>
                <w:szCs w:val="20"/>
              </w:rPr>
            </w:pPr>
          </w:p>
          <w:p w:rsidR="00424B23" w:rsidRPr="0054024A" w:rsidRDefault="00424B23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0" w:type="dxa"/>
            <w:gridSpan w:val="2"/>
            <w:shd w:val="clear" w:color="auto" w:fill="auto"/>
          </w:tcPr>
          <w:p w:rsidR="00424B23" w:rsidRPr="0054024A" w:rsidRDefault="00424B23" w:rsidP="00294F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4B23" w:rsidRPr="0054024A" w:rsidTr="00424B23">
        <w:trPr>
          <w:gridAfter w:val="1"/>
          <w:wAfter w:w="620" w:type="dxa"/>
        </w:trPr>
        <w:tc>
          <w:tcPr>
            <w:tcW w:w="4678" w:type="dxa"/>
            <w:gridSpan w:val="2"/>
            <w:shd w:val="clear" w:color="auto" w:fill="auto"/>
          </w:tcPr>
          <w:p w:rsidR="00424B23" w:rsidRPr="0054024A" w:rsidRDefault="00424B23" w:rsidP="00CD4CDD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107721449" w:edGrp="everyone"/>
            <w:r w:rsidRPr="0054024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424B23" w:rsidRPr="0054024A" w:rsidRDefault="00424B23" w:rsidP="00CD4CDD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1107721449"/>
            <w:r w:rsidRPr="0054024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424B23" w:rsidRPr="0054024A" w:rsidRDefault="00424B23" w:rsidP="00CD4CDD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893392194" w:edGrp="everyone"/>
            <w:r w:rsidRPr="0054024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893392194"/>
          <w:p w:rsidR="00424B23" w:rsidRPr="0054024A" w:rsidRDefault="00424B23" w:rsidP="00CD4CDD">
            <w:pPr>
              <w:tabs>
                <w:tab w:val="left" w:pos="0"/>
              </w:tabs>
              <w:ind w:right="-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4024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294F25" w:rsidRPr="0054024A" w:rsidRDefault="00294F25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tbl>
      <w:tblPr>
        <w:tblW w:w="8818" w:type="dxa"/>
        <w:tblInd w:w="108" w:type="dxa"/>
        <w:tblLook w:val="04A0" w:firstRow="1" w:lastRow="0" w:firstColumn="1" w:lastColumn="0" w:noHBand="0" w:noVBand="1"/>
      </w:tblPr>
      <w:tblGrid>
        <w:gridCol w:w="4836"/>
        <w:gridCol w:w="3982"/>
      </w:tblGrid>
      <w:tr w:rsidR="0003204B" w:rsidRPr="0054024A" w:rsidTr="002046B9">
        <w:trPr>
          <w:trHeight w:val="80"/>
        </w:trPr>
        <w:tc>
          <w:tcPr>
            <w:tcW w:w="4836" w:type="dxa"/>
            <w:shd w:val="clear" w:color="auto" w:fill="auto"/>
          </w:tcPr>
          <w:p w:rsidR="0003204B" w:rsidRPr="0054024A" w:rsidRDefault="0003204B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:rsidR="0003204B" w:rsidRPr="0054024A" w:rsidRDefault="0003204B" w:rsidP="0003204B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A2393" w:rsidRPr="0054024A" w:rsidTr="002046B9">
        <w:trPr>
          <w:trHeight w:val="80"/>
        </w:trPr>
        <w:tc>
          <w:tcPr>
            <w:tcW w:w="4836" w:type="dxa"/>
            <w:shd w:val="clear" w:color="auto" w:fill="auto"/>
          </w:tcPr>
          <w:p w:rsidR="005A2393" w:rsidRPr="0054024A" w:rsidRDefault="005A2393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5A2393" w:rsidRPr="0054024A" w:rsidRDefault="005A2393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5A2393" w:rsidRPr="0054024A" w:rsidRDefault="005A2393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5A2393" w:rsidRPr="0054024A" w:rsidRDefault="005A2393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5A2393" w:rsidRDefault="005A2393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E90BD1" w:rsidRDefault="00E90BD1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E90BD1" w:rsidRDefault="00E90BD1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E90BD1" w:rsidRDefault="00E90BD1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E90BD1" w:rsidRDefault="00E90BD1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E90BD1" w:rsidRDefault="00E90BD1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E90BD1" w:rsidRDefault="00E90BD1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E90BD1" w:rsidRDefault="00E90BD1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E90BD1" w:rsidRDefault="00E90BD1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E90BD1" w:rsidRDefault="00E90BD1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  <w:p w:rsidR="00E90BD1" w:rsidRPr="0054024A" w:rsidRDefault="00E90BD1" w:rsidP="002046B9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:rsidR="005A2393" w:rsidRPr="0054024A" w:rsidRDefault="005A2393" w:rsidP="0003204B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C65B10" w:rsidRPr="0054024A" w:rsidRDefault="005E1F85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54024A">
        <w:rPr>
          <w:rFonts w:ascii="Arial" w:hAnsi="Arial" w:cs="Arial"/>
          <w:sz w:val="20"/>
          <w:szCs w:val="20"/>
        </w:rPr>
        <w:t>__</w:t>
      </w:r>
      <w:r w:rsidR="00C65B10" w:rsidRPr="0054024A">
        <w:rPr>
          <w:rFonts w:ascii="Arial" w:hAnsi="Arial" w:cs="Arial"/>
          <w:sz w:val="20"/>
          <w:szCs w:val="20"/>
        </w:rPr>
        <w:t>_______________________________</w:t>
      </w:r>
    </w:p>
    <w:p w:rsidR="00607047" w:rsidRPr="0054024A" w:rsidRDefault="00C65B1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54024A">
        <w:rPr>
          <w:rStyle w:val="Refdenotaderodap"/>
          <w:rFonts w:ascii="Arial" w:hAnsi="Arial" w:cs="Arial"/>
          <w:sz w:val="20"/>
          <w:szCs w:val="20"/>
        </w:rPr>
        <w:footnoteRef/>
      </w:r>
      <w:r w:rsidRPr="0054024A">
        <w:rPr>
          <w:rFonts w:ascii="Arial" w:hAnsi="Arial" w:cs="Arial"/>
          <w:sz w:val="20"/>
          <w:szCs w:val="20"/>
        </w:rPr>
        <w:t xml:space="preserve"> </w:t>
      </w:r>
      <w:r w:rsidRPr="0054024A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54024A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54024A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54024A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54024A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</w:t>
      </w:r>
      <w:r w:rsidR="001B7ECE" w:rsidRPr="0054024A">
        <w:rPr>
          <w:rFonts w:ascii="Arial" w:hAnsi="Arial" w:cs="Arial"/>
          <w:b/>
          <w:spacing w:val="4"/>
          <w:sz w:val="20"/>
          <w:szCs w:val="20"/>
          <w:lang w:eastAsia="pt-BR"/>
        </w:rPr>
        <w:t>cidade as informações prestadas.</w:t>
      </w:r>
    </w:p>
    <w:p w:rsidR="00D738C8" w:rsidRPr="0054024A" w:rsidRDefault="00D738C8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:rsidR="00D738C8" w:rsidRPr="0054024A" w:rsidRDefault="00294F25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54024A">
        <w:rPr>
          <w:rFonts w:ascii="Arial" w:hAnsi="Arial" w:cs="Arial"/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DBABF8" wp14:editId="16611BD1">
                <wp:simplePos x="0" y="0"/>
                <wp:positionH relativeFrom="column">
                  <wp:posOffset>6178550</wp:posOffset>
                </wp:positionH>
                <wp:positionV relativeFrom="paragraph">
                  <wp:posOffset>158115</wp:posOffset>
                </wp:positionV>
                <wp:extent cx="525145" cy="3457575"/>
                <wp:effectExtent l="0" t="0" r="825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25" w:rsidRDefault="00294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BABF8" id="_x0000_s1027" type="#_x0000_t202" style="position:absolute;left:0;text-align:left;margin-left:486.5pt;margin-top:12.45pt;width:41.35pt;height:27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" stroked="f">
                <v:textbox>
                  <w:txbxContent>
                    <w:p w:rsidR="00294F25" w:rsidRDefault="00294F25"/>
                  </w:txbxContent>
                </v:textbox>
                <w10:wrap type="square"/>
              </v:shape>
            </w:pict>
          </mc:Fallback>
        </mc:AlternateContent>
      </w:r>
    </w:p>
    <w:p w:rsidR="00C65B10" w:rsidRPr="0054024A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54024A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520"/>
        <w:gridCol w:w="599"/>
        <w:gridCol w:w="567"/>
        <w:gridCol w:w="1275"/>
        <w:gridCol w:w="1134"/>
      </w:tblGrid>
      <w:tr w:rsidR="0090091C" w:rsidRPr="0054024A" w:rsidTr="00815A6D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4024A" w:rsidRDefault="0090091C" w:rsidP="009009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54024A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90091C" w:rsidRPr="0054024A" w:rsidTr="00815A6D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54024A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6713B" w:rsidRPr="0054024A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3B" w:rsidRPr="0054024A" w:rsidRDefault="0056713B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54024A" w:rsidRDefault="0056713B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4A">
              <w:rPr>
                <w:rFonts w:ascii="Arial" w:hAnsi="Arial" w:cs="Arial"/>
                <w:color w:val="000000"/>
                <w:sz w:val="20"/>
                <w:szCs w:val="20"/>
              </w:rPr>
              <w:t xml:space="preserve">Coordenadora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54024A" w:rsidRDefault="00214E09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54024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54024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B" w:rsidRPr="0054024A" w:rsidRDefault="0056713B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94F25" w:rsidRPr="0054024A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F25" w:rsidRPr="0054024A" w:rsidRDefault="00EE23E4" w:rsidP="00294F25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Neila Janes Viana Vieira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F25" w:rsidRPr="0054024A" w:rsidRDefault="00EE23E4" w:rsidP="00294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024A">
              <w:rPr>
                <w:rFonts w:ascii="Arial" w:hAnsi="Arial" w:cs="Arial"/>
                <w:color w:val="000000"/>
                <w:sz w:val="20"/>
                <w:szCs w:val="20"/>
              </w:rPr>
              <w:t>Coordenadora-adjunta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25" w:rsidRPr="0054024A" w:rsidRDefault="00214E09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25" w:rsidRPr="0054024A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25" w:rsidRPr="0054024A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25" w:rsidRPr="0054024A" w:rsidRDefault="00294F25" w:rsidP="00294F25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54024A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1C" w:rsidRPr="0054024A" w:rsidRDefault="0027427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4024A" w:rsidRDefault="0027427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4024A" w:rsidRDefault="00214E09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54024A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1C" w:rsidRPr="0054024A" w:rsidRDefault="006246AF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Rosane Inês Petersen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4024A" w:rsidRDefault="00214E09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4024A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7404D" w:rsidRPr="0054024A" w:rsidTr="00815A6D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4D" w:rsidRPr="0054024A" w:rsidRDefault="00214E09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Luciane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Diel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Freitas Pereira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54024A" w:rsidRDefault="00214E09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Suplente de Conselheiro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54024A" w:rsidRDefault="00214E09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54024A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54024A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54024A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54024A" w:rsidTr="00815A6D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54024A" w:rsidTr="005E1F85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54024A" w:rsidRDefault="00296C72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96</w:t>
            </w:r>
            <w:r w:rsidR="0090091C"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90091C" w:rsidRPr="0054024A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="0090091C"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296C72">
              <w:rPr>
                <w:rFonts w:ascii="Arial" w:hAnsi="Arial" w:cs="Arial"/>
                <w:sz w:val="20"/>
                <w:szCs w:val="20"/>
                <w:lang w:eastAsia="pt-BR"/>
              </w:rPr>
              <w:t>11</w:t>
            </w:r>
            <w:r w:rsidR="00C468B3" w:rsidRPr="0054024A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296C72">
              <w:rPr>
                <w:rFonts w:ascii="Arial" w:hAnsi="Arial" w:cs="Arial"/>
                <w:sz w:val="20"/>
                <w:szCs w:val="20"/>
                <w:lang w:eastAsia="pt-BR"/>
              </w:rPr>
              <w:t>07</w:t>
            </w:r>
            <w:r w:rsidR="00E24183" w:rsidRPr="0054024A">
              <w:rPr>
                <w:rFonts w:ascii="Arial" w:hAnsi="Arial" w:cs="Arial"/>
                <w:sz w:val="20"/>
                <w:szCs w:val="20"/>
                <w:lang w:eastAsia="pt-BR"/>
              </w:rPr>
              <w:t>/2022</w:t>
            </w:r>
          </w:p>
          <w:p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90091C" w:rsidRPr="0054024A" w:rsidRDefault="0090091C" w:rsidP="0090091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296C72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95</w:t>
            </w:r>
            <w:r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CEF-CAU/MS</w:t>
            </w:r>
            <w:r w:rsidR="00C468B3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do dia </w:t>
            </w:r>
            <w:r w:rsidR="00296C72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13</w:t>
            </w:r>
            <w:r w:rsidR="00EE23E4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296C72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de junho</w:t>
            </w:r>
            <w:r w:rsidR="00DD1092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2022</w:t>
            </w:r>
            <w:r w:rsidR="00342FF0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</w:p>
          <w:p w:rsidR="0090091C" w:rsidRPr="0054024A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="00C468B3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proofErr w:type="gramStart"/>
            <w:r w:rsidR="00214E09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="00C468B3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</w:t>
            </w:r>
            <w:proofErr w:type="gramEnd"/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="00860384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="00C468B3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214E09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bookmarkStart w:id="0" w:name="_GoBack"/>
            <w:bookmarkEnd w:id="0"/>
            <w:r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214E09" w:rsidRDefault="0090091C" w:rsidP="00214E0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="00815A6D" w:rsidRPr="0054024A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214E09">
              <w:rPr>
                <w:rFonts w:ascii="Arial" w:eastAsiaTheme="minorHAnsi" w:hAnsi="Arial" w:cs="Arial"/>
                <w:sz w:val="20"/>
                <w:szCs w:val="20"/>
              </w:rPr>
              <w:t>Registra-se a justificativa de ausência do conselheiro titular Rubens Moraes da Costa</w:t>
            </w:r>
          </w:p>
          <w:p w:rsidR="007B708E" w:rsidRPr="0054024A" w:rsidRDefault="00214E09" w:rsidP="00214E09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Marques, e assumindo a titularidade a suplente Luciane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</w:rPr>
              <w:t>Diel</w:t>
            </w:r>
            <w:proofErr w:type="spellEnd"/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de Freitas Pereira.</w:t>
            </w:r>
          </w:p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54024A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64594C" w:rsidRPr="0054024A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90091C" w:rsidRPr="0054024A" w:rsidRDefault="0090091C" w:rsidP="0090091C">
            <w:pPr>
              <w:tabs>
                <w:tab w:val="left" w:pos="58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</w:r>
          </w:p>
          <w:p w:rsidR="0090091C" w:rsidRPr="0054024A" w:rsidRDefault="0090091C" w:rsidP="00B72236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4024A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="00B72236" w:rsidRPr="0054024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(Coordenadora</w:t>
            </w:r>
            <w:r w:rsidR="00F64741" w:rsidRPr="0054024A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):</w:t>
            </w:r>
            <w:r w:rsidR="00F64741" w:rsidRPr="0054024A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B72236" w:rsidRPr="0054024A">
              <w:rPr>
                <w:rFonts w:ascii="Arial" w:hAnsi="Arial" w:cs="Arial"/>
                <w:sz w:val="20"/>
                <w:szCs w:val="20"/>
                <w:lang w:eastAsia="pt-BR"/>
              </w:rPr>
              <w:t>Olinda Beatriz Trevisol Meneghini</w:t>
            </w:r>
          </w:p>
        </w:tc>
      </w:tr>
    </w:tbl>
    <w:p w:rsidR="00C65B10" w:rsidRPr="0054024A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:rsidR="005303B6" w:rsidRPr="0054024A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5303B6" w:rsidRPr="0054024A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54024A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54024A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EB0EE9" w:rsidRPr="0054024A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54024A" w:rsidSect="002046B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276" w:right="1128" w:bottom="567" w:left="1276" w:header="3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CA" w:rsidRDefault="005B6DCA" w:rsidP="00156D18">
      <w:r>
        <w:separator/>
      </w:r>
    </w:p>
  </w:endnote>
  <w:endnote w:type="continuationSeparator" w:id="0">
    <w:p w:rsidR="005B6DCA" w:rsidRDefault="005B6DC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934" w:rsidRDefault="00EB3A6F" w:rsidP="00375934"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8E407F7" wp14:editId="3F1280C6">
              <wp:simplePos x="0" y="0"/>
              <wp:positionH relativeFrom="page">
                <wp:align>left</wp:align>
              </wp:positionH>
              <wp:positionV relativeFrom="paragraph">
                <wp:posOffset>194945</wp:posOffset>
              </wp:positionV>
              <wp:extent cx="7581900" cy="0"/>
              <wp:effectExtent l="0" t="0" r="1905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A660C8"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15.35pt" to="597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" strokecolor="#004447" strokeweight=".5pt">
              <v:stroke joinstyle="miter"/>
              <o:lock v:ext="edit" shapetype="f"/>
              <w10:wrap anchorx="page"/>
            </v:line>
          </w:pict>
        </mc:Fallback>
      </mc:AlternateContent>
    </w:r>
  </w:p>
  <w:p w:rsidR="00EB3A6F" w:rsidRDefault="00EB3A6F" w:rsidP="00375934">
    <w:pPr>
      <w:pStyle w:val="Rodap"/>
      <w:ind w:left="1416"/>
      <w:rPr>
        <w:rFonts w:ascii="Dax" w:hAnsi="Dax"/>
        <w:color w:val="004447"/>
        <w:sz w:val="18"/>
        <w:szCs w:val="18"/>
      </w:rPr>
    </w:pPr>
  </w:p>
  <w:p w:rsidR="00375934" w:rsidRPr="005B0D38" w:rsidRDefault="00375934" w:rsidP="00375934">
    <w:pPr>
      <w:pStyle w:val="Rodap"/>
      <w:ind w:left="1416"/>
      <w:rPr>
        <w:rFonts w:ascii="Dax" w:hAnsi="Dax"/>
        <w:color w:val="004447"/>
        <w:sz w:val="18"/>
        <w:szCs w:val="18"/>
      </w:rPr>
    </w:pPr>
    <w:r w:rsidRPr="005B0D38">
      <w:rPr>
        <w:rFonts w:ascii="Dax" w:hAnsi="Dax"/>
        <w:color w:val="004447"/>
        <w:sz w:val="18"/>
        <w:szCs w:val="18"/>
      </w:rPr>
      <w:t xml:space="preserve">Rua </w:t>
    </w:r>
    <w:r>
      <w:rPr>
        <w:rFonts w:ascii="Dax" w:hAnsi="Dax"/>
        <w:color w:val="004447"/>
        <w:sz w:val="18"/>
        <w:szCs w:val="18"/>
      </w:rPr>
      <w:t>Doutor Ferreira, 28</w:t>
    </w:r>
    <w:r w:rsidRPr="005B0D38">
      <w:rPr>
        <w:rFonts w:ascii="Dax" w:hAnsi="Dax"/>
        <w:color w:val="004447"/>
        <w:sz w:val="18"/>
        <w:szCs w:val="18"/>
      </w:rPr>
      <w:t xml:space="preserve">, </w:t>
    </w:r>
    <w:r>
      <w:rPr>
        <w:rFonts w:ascii="Dax" w:hAnsi="Dax"/>
        <w:color w:val="004447"/>
        <w:sz w:val="18"/>
        <w:szCs w:val="18"/>
      </w:rPr>
      <w:t>Centro</w:t>
    </w:r>
    <w:r w:rsidRPr="005B0D38">
      <w:rPr>
        <w:rFonts w:ascii="Dax" w:hAnsi="Dax"/>
        <w:color w:val="004447"/>
        <w:sz w:val="18"/>
        <w:szCs w:val="18"/>
      </w:rPr>
      <w:t xml:space="preserve"> | CEP: </w:t>
    </w:r>
    <w:r>
      <w:rPr>
        <w:rFonts w:ascii="Dax" w:hAnsi="Dax"/>
        <w:color w:val="004447"/>
        <w:sz w:val="18"/>
        <w:szCs w:val="18"/>
      </w:rPr>
      <w:t>79.002-240</w:t>
    </w:r>
    <w:r w:rsidRPr="005B0D38">
      <w:rPr>
        <w:rFonts w:ascii="Dax" w:hAnsi="Dax"/>
        <w:color w:val="004447"/>
        <w:sz w:val="18"/>
        <w:szCs w:val="18"/>
      </w:rPr>
      <w:t xml:space="preserve"> – Campo </w:t>
    </w:r>
    <w:r>
      <w:rPr>
        <w:rFonts w:ascii="Dax" w:hAnsi="Dax"/>
        <w:color w:val="004447"/>
        <w:sz w:val="18"/>
        <w:szCs w:val="18"/>
      </w:rPr>
      <w:t xml:space="preserve">Grande/MS | </w:t>
    </w:r>
    <w:proofErr w:type="spellStart"/>
    <w:r>
      <w:rPr>
        <w:rFonts w:ascii="Dax" w:hAnsi="Dax"/>
        <w:color w:val="004447"/>
        <w:sz w:val="18"/>
        <w:szCs w:val="18"/>
      </w:rPr>
      <w:t>Tel</w:t>
    </w:r>
    <w:proofErr w:type="spellEnd"/>
    <w:r>
      <w:rPr>
        <w:rFonts w:ascii="Dax" w:hAnsi="Dax"/>
        <w:color w:val="004447"/>
        <w:sz w:val="18"/>
        <w:szCs w:val="18"/>
      </w:rPr>
      <w:t>: (67) 3306-7848/</w:t>
    </w:r>
    <w:r w:rsidRPr="005B0D38">
      <w:rPr>
        <w:rFonts w:ascii="Dax" w:hAnsi="Dax"/>
        <w:color w:val="004447"/>
        <w:sz w:val="18"/>
        <w:szCs w:val="18"/>
      </w:rPr>
      <w:t>3252 www.caums.gov.br | atendimento@caums.org.br</w:t>
    </w:r>
  </w:p>
  <w:p w:rsidR="00D80A28" w:rsidRDefault="009424B9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  <w:r>
      <w:tab/>
    </w:r>
  </w:p>
  <w:p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CA" w:rsidRDefault="005B6DCA" w:rsidP="00156D18">
      <w:r>
        <w:separator/>
      </w:r>
    </w:p>
  </w:footnote>
  <w:footnote w:type="continuationSeparator" w:id="0">
    <w:p w:rsidR="005B6DCA" w:rsidRDefault="005B6DC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DDD87EE" wp14:editId="56B48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6" name="Imagem 9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72117B2" wp14:editId="7B96F4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97" name="Imagem 9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54024A" w:rsidRDefault="0054024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BE36B4" w:rsidRDefault="00BE36B4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5E1F85" w:rsidRDefault="00E50A47" w:rsidP="00772B4F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D8650F5" wp14:editId="44DC98E7">
          <wp:simplePos x="0" y="0"/>
          <wp:positionH relativeFrom="margin">
            <wp:align>right</wp:align>
          </wp:positionH>
          <wp:positionV relativeFrom="paragraph">
            <wp:posOffset>6477</wp:posOffset>
          </wp:positionV>
          <wp:extent cx="5219700" cy="658495"/>
          <wp:effectExtent l="0" t="0" r="0" b="8255"/>
          <wp:wrapNone/>
          <wp:docPr id="99" name="Imagem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D03"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78033A" w:rsidRDefault="0078033A" w:rsidP="0078033A">
    <w:pPr>
      <w:pStyle w:val="Cabealho"/>
      <w:tabs>
        <w:tab w:val="clear" w:pos="4320"/>
        <w:tab w:val="left" w:pos="2625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78033A" w:rsidRDefault="0078033A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094F9E" w:rsidRDefault="00094F9E" w:rsidP="00E50A47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094F9E" w:rsidRDefault="00094F9E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D276E9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- 95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:rsidR="002E5183" w:rsidRPr="00EE23E4" w:rsidRDefault="009415CE" w:rsidP="00EE23E4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E8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B6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54077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01F21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76F39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BD74C3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A402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70D8C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C1C17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37813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BF4AC4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42F39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F4BE4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9"/>
  </w:num>
  <w:num w:numId="5">
    <w:abstractNumId w:val="10"/>
  </w:num>
  <w:num w:numId="6">
    <w:abstractNumId w:val="16"/>
  </w:num>
  <w:num w:numId="7">
    <w:abstractNumId w:val="0"/>
  </w:num>
  <w:num w:numId="8">
    <w:abstractNumId w:val="12"/>
  </w:num>
  <w:num w:numId="9">
    <w:abstractNumId w:val="6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18"/>
  </w:num>
  <w:num w:numId="15">
    <w:abstractNumId w:val="15"/>
  </w:num>
  <w:num w:numId="16">
    <w:abstractNumId w:val="13"/>
  </w:num>
  <w:num w:numId="17">
    <w:abstractNumId w:val="11"/>
  </w:num>
  <w:num w:numId="18">
    <w:abstractNumId w:val="4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234B"/>
    <w:rsid w:val="000138F7"/>
    <w:rsid w:val="0001455A"/>
    <w:rsid w:val="000156AE"/>
    <w:rsid w:val="00015BF8"/>
    <w:rsid w:val="000171A5"/>
    <w:rsid w:val="00017232"/>
    <w:rsid w:val="00017690"/>
    <w:rsid w:val="00020B18"/>
    <w:rsid w:val="00021692"/>
    <w:rsid w:val="00021792"/>
    <w:rsid w:val="0002204A"/>
    <w:rsid w:val="0002208B"/>
    <w:rsid w:val="00024878"/>
    <w:rsid w:val="00026957"/>
    <w:rsid w:val="00030C12"/>
    <w:rsid w:val="00031462"/>
    <w:rsid w:val="00031F59"/>
    <w:rsid w:val="0003204B"/>
    <w:rsid w:val="00033719"/>
    <w:rsid w:val="00035240"/>
    <w:rsid w:val="00035CB7"/>
    <w:rsid w:val="000360EF"/>
    <w:rsid w:val="00040840"/>
    <w:rsid w:val="0004259E"/>
    <w:rsid w:val="000557AB"/>
    <w:rsid w:val="00056DDE"/>
    <w:rsid w:val="00056EBB"/>
    <w:rsid w:val="000572CE"/>
    <w:rsid w:val="0005760F"/>
    <w:rsid w:val="00057799"/>
    <w:rsid w:val="0006214E"/>
    <w:rsid w:val="00062F9A"/>
    <w:rsid w:val="000637C0"/>
    <w:rsid w:val="0006614F"/>
    <w:rsid w:val="00070F33"/>
    <w:rsid w:val="0007224D"/>
    <w:rsid w:val="000732F0"/>
    <w:rsid w:val="0007390C"/>
    <w:rsid w:val="00073F48"/>
    <w:rsid w:val="00081AFA"/>
    <w:rsid w:val="00083CFE"/>
    <w:rsid w:val="00083F76"/>
    <w:rsid w:val="0008481A"/>
    <w:rsid w:val="00084BE6"/>
    <w:rsid w:val="00085850"/>
    <w:rsid w:val="00086B06"/>
    <w:rsid w:val="00086D18"/>
    <w:rsid w:val="00090DD1"/>
    <w:rsid w:val="000910AF"/>
    <w:rsid w:val="00091708"/>
    <w:rsid w:val="00091791"/>
    <w:rsid w:val="00092472"/>
    <w:rsid w:val="00092A08"/>
    <w:rsid w:val="00094F9E"/>
    <w:rsid w:val="0009652A"/>
    <w:rsid w:val="00097337"/>
    <w:rsid w:val="000A1A4C"/>
    <w:rsid w:val="000A37CC"/>
    <w:rsid w:val="000A532A"/>
    <w:rsid w:val="000A596F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D0530"/>
    <w:rsid w:val="000D0E32"/>
    <w:rsid w:val="000D12B7"/>
    <w:rsid w:val="000D19C0"/>
    <w:rsid w:val="000D3C92"/>
    <w:rsid w:val="000D4B86"/>
    <w:rsid w:val="000D568E"/>
    <w:rsid w:val="000D6150"/>
    <w:rsid w:val="000D7015"/>
    <w:rsid w:val="000D74A1"/>
    <w:rsid w:val="000E1DA1"/>
    <w:rsid w:val="000E2A5E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6A29"/>
    <w:rsid w:val="000F7529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64E"/>
    <w:rsid w:val="00130DFF"/>
    <w:rsid w:val="001321A9"/>
    <w:rsid w:val="001323CC"/>
    <w:rsid w:val="00133AAF"/>
    <w:rsid w:val="00133F44"/>
    <w:rsid w:val="001349B2"/>
    <w:rsid w:val="00135305"/>
    <w:rsid w:val="0013620D"/>
    <w:rsid w:val="001367C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2C19"/>
    <w:rsid w:val="0015340C"/>
    <w:rsid w:val="00156D18"/>
    <w:rsid w:val="00157CCF"/>
    <w:rsid w:val="001603F2"/>
    <w:rsid w:val="0016063E"/>
    <w:rsid w:val="00160B34"/>
    <w:rsid w:val="001618C8"/>
    <w:rsid w:val="0016621B"/>
    <w:rsid w:val="001666CB"/>
    <w:rsid w:val="0016789B"/>
    <w:rsid w:val="00167B85"/>
    <w:rsid w:val="00170973"/>
    <w:rsid w:val="00170BAF"/>
    <w:rsid w:val="0017167D"/>
    <w:rsid w:val="00171C29"/>
    <w:rsid w:val="00171F39"/>
    <w:rsid w:val="001721D2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91830"/>
    <w:rsid w:val="00191D70"/>
    <w:rsid w:val="0019273D"/>
    <w:rsid w:val="001931C6"/>
    <w:rsid w:val="00194C34"/>
    <w:rsid w:val="00195244"/>
    <w:rsid w:val="00195694"/>
    <w:rsid w:val="001A0022"/>
    <w:rsid w:val="001A09AB"/>
    <w:rsid w:val="001A0A0D"/>
    <w:rsid w:val="001B1D77"/>
    <w:rsid w:val="001B23FB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3DA"/>
    <w:rsid w:val="001C2683"/>
    <w:rsid w:val="001C3D8D"/>
    <w:rsid w:val="001C4CD2"/>
    <w:rsid w:val="001C61B0"/>
    <w:rsid w:val="001C7767"/>
    <w:rsid w:val="001C7FE1"/>
    <w:rsid w:val="001D12E9"/>
    <w:rsid w:val="001D1503"/>
    <w:rsid w:val="001D48FC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9FD"/>
    <w:rsid w:val="001F2290"/>
    <w:rsid w:val="001F3CCE"/>
    <w:rsid w:val="001F7006"/>
    <w:rsid w:val="0020016B"/>
    <w:rsid w:val="00202239"/>
    <w:rsid w:val="0020261D"/>
    <w:rsid w:val="00203523"/>
    <w:rsid w:val="002046B9"/>
    <w:rsid w:val="002059C2"/>
    <w:rsid w:val="00206AF3"/>
    <w:rsid w:val="00214E09"/>
    <w:rsid w:val="00214F4F"/>
    <w:rsid w:val="00215149"/>
    <w:rsid w:val="0021614C"/>
    <w:rsid w:val="0022236E"/>
    <w:rsid w:val="0022261B"/>
    <w:rsid w:val="00222AEA"/>
    <w:rsid w:val="002239A1"/>
    <w:rsid w:val="0022451D"/>
    <w:rsid w:val="00224B39"/>
    <w:rsid w:val="0022694D"/>
    <w:rsid w:val="00226D3A"/>
    <w:rsid w:val="0023018E"/>
    <w:rsid w:val="00234DEB"/>
    <w:rsid w:val="00235484"/>
    <w:rsid w:val="002403A9"/>
    <w:rsid w:val="00240E94"/>
    <w:rsid w:val="00243E52"/>
    <w:rsid w:val="00244A9D"/>
    <w:rsid w:val="00245333"/>
    <w:rsid w:val="002453F3"/>
    <w:rsid w:val="002458C8"/>
    <w:rsid w:val="0024708B"/>
    <w:rsid w:val="002502A6"/>
    <w:rsid w:val="00251C9D"/>
    <w:rsid w:val="0025284C"/>
    <w:rsid w:val="00253817"/>
    <w:rsid w:val="002569C0"/>
    <w:rsid w:val="00257575"/>
    <w:rsid w:val="00257EB7"/>
    <w:rsid w:val="00261596"/>
    <w:rsid w:val="0026202F"/>
    <w:rsid w:val="0026275B"/>
    <w:rsid w:val="00262F08"/>
    <w:rsid w:val="00263214"/>
    <w:rsid w:val="00263ECA"/>
    <w:rsid w:val="002646BC"/>
    <w:rsid w:val="00264BC9"/>
    <w:rsid w:val="00264DB6"/>
    <w:rsid w:val="002651CB"/>
    <w:rsid w:val="0026539C"/>
    <w:rsid w:val="00266375"/>
    <w:rsid w:val="00267211"/>
    <w:rsid w:val="002673CC"/>
    <w:rsid w:val="00267C02"/>
    <w:rsid w:val="0027410E"/>
    <w:rsid w:val="0027427F"/>
    <w:rsid w:val="00274AA9"/>
    <w:rsid w:val="00276937"/>
    <w:rsid w:val="00277139"/>
    <w:rsid w:val="00280291"/>
    <w:rsid w:val="00280A06"/>
    <w:rsid w:val="00280D89"/>
    <w:rsid w:val="002818F9"/>
    <w:rsid w:val="00284D6C"/>
    <w:rsid w:val="002866D8"/>
    <w:rsid w:val="00290EDF"/>
    <w:rsid w:val="002920A9"/>
    <w:rsid w:val="00292D4E"/>
    <w:rsid w:val="00293AFD"/>
    <w:rsid w:val="0029491F"/>
    <w:rsid w:val="00294F25"/>
    <w:rsid w:val="002961A3"/>
    <w:rsid w:val="00296C72"/>
    <w:rsid w:val="00296F6E"/>
    <w:rsid w:val="002970A5"/>
    <w:rsid w:val="002974A2"/>
    <w:rsid w:val="002974E9"/>
    <w:rsid w:val="002A69E3"/>
    <w:rsid w:val="002A764F"/>
    <w:rsid w:val="002A784C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2789"/>
    <w:rsid w:val="002C2D48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5183"/>
    <w:rsid w:val="002E5710"/>
    <w:rsid w:val="002E6147"/>
    <w:rsid w:val="002E6804"/>
    <w:rsid w:val="002E7AE7"/>
    <w:rsid w:val="002E7D07"/>
    <w:rsid w:val="002F15D3"/>
    <w:rsid w:val="002F29C8"/>
    <w:rsid w:val="002F2E7F"/>
    <w:rsid w:val="002F3191"/>
    <w:rsid w:val="002F3DF6"/>
    <w:rsid w:val="002F42B4"/>
    <w:rsid w:val="002F4BB8"/>
    <w:rsid w:val="002F691D"/>
    <w:rsid w:val="002F7211"/>
    <w:rsid w:val="00301723"/>
    <w:rsid w:val="00302191"/>
    <w:rsid w:val="003036CB"/>
    <w:rsid w:val="0030373F"/>
    <w:rsid w:val="00305318"/>
    <w:rsid w:val="00305347"/>
    <w:rsid w:val="00305C06"/>
    <w:rsid w:val="00306318"/>
    <w:rsid w:val="00307037"/>
    <w:rsid w:val="00311B74"/>
    <w:rsid w:val="0031261B"/>
    <w:rsid w:val="00314667"/>
    <w:rsid w:val="00314C4D"/>
    <w:rsid w:val="00314C7A"/>
    <w:rsid w:val="0031503A"/>
    <w:rsid w:val="00315DB7"/>
    <w:rsid w:val="00315E1D"/>
    <w:rsid w:val="00320396"/>
    <w:rsid w:val="0032370E"/>
    <w:rsid w:val="003245BE"/>
    <w:rsid w:val="00327127"/>
    <w:rsid w:val="00330455"/>
    <w:rsid w:val="003321AE"/>
    <w:rsid w:val="003337CD"/>
    <w:rsid w:val="00333A8B"/>
    <w:rsid w:val="00333CEA"/>
    <w:rsid w:val="0033445C"/>
    <w:rsid w:val="00334876"/>
    <w:rsid w:val="003349D7"/>
    <w:rsid w:val="00334B0A"/>
    <w:rsid w:val="00335837"/>
    <w:rsid w:val="00335EDB"/>
    <w:rsid w:val="00336A9B"/>
    <w:rsid w:val="00336FAC"/>
    <w:rsid w:val="00341371"/>
    <w:rsid w:val="00341FC7"/>
    <w:rsid w:val="003420B1"/>
    <w:rsid w:val="003427B8"/>
    <w:rsid w:val="00342C78"/>
    <w:rsid w:val="00342FF0"/>
    <w:rsid w:val="00343423"/>
    <w:rsid w:val="00344662"/>
    <w:rsid w:val="003462CD"/>
    <w:rsid w:val="00346793"/>
    <w:rsid w:val="00347EB4"/>
    <w:rsid w:val="003501BF"/>
    <w:rsid w:val="003511D3"/>
    <w:rsid w:val="003526A0"/>
    <w:rsid w:val="00353FA7"/>
    <w:rsid w:val="003548F9"/>
    <w:rsid w:val="00354981"/>
    <w:rsid w:val="00360233"/>
    <w:rsid w:val="00360905"/>
    <w:rsid w:val="00360C80"/>
    <w:rsid w:val="003631A9"/>
    <w:rsid w:val="00363EEC"/>
    <w:rsid w:val="003643BE"/>
    <w:rsid w:val="00364645"/>
    <w:rsid w:val="00364D1E"/>
    <w:rsid w:val="00365180"/>
    <w:rsid w:val="00365B64"/>
    <w:rsid w:val="003704F1"/>
    <w:rsid w:val="003724CA"/>
    <w:rsid w:val="0037322F"/>
    <w:rsid w:val="00373880"/>
    <w:rsid w:val="003741B6"/>
    <w:rsid w:val="0037501E"/>
    <w:rsid w:val="003751AB"/>
    <w:rsid w:val="00375268"/>
    <w:rsid w:val="00375934"/>
    <w:rsid w:val="00375E52"/>
    <w:rsid w:val="00377227"/>
    <w:rsid w:val="00390268"/>
    <w:rsid w:val="00391B20"/>
    <w:rsid w:val="003924B9"/>
    <w:rsid w:val="00393AD2"/>
    <w:rsid w:val="0039443E"/>
    <w:rsid w:val="00396B30"/>
    <w:rsid w:val="003A05FC"/>
    <w:rsid w:val="003A0D6A"/>
    <w:rsid w:val="003A10C6"/>
    <w:rsid w:val="003A1912"/>
    <w:rsid w:val="003A2179"/>
    <w:rsid w:val="003A41C0"/>
    <w:rsid w:val="003A488E"/>
    <w:rsid w:val="003A5603"/>
    <w:rsid w:val="003A6C62"/>
    <w:rsid w:val="003A6F39"/>
    <w:rsid w:val="003B0965"/>
    <w:rsid w:val="003B100A"/>
    <w:rsid w:val="003B2F01"/>
    <w:rsid w:val="003B3232"/>
    <w:rsid w:val="003B356E"/>
    <w:rsid w:val="003B3DCE"/>
    <w:rsid w:val="003B495A"/>
    <w:rsid w:val="003B4B98"/>
    <w:rsid w:val="003B5EA8"/>
    <w:rsid w:val="003B6382"/>
    <w:rsid w:val="003B7F3B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D7ABE"/>
    <w:rsid w:val="003E292F"/>
    <w:rsid w:val="003E2B16"/>
    <w:rsid w:val="003E4914"/>
    <w:rsid w:val="003E526D"/>
    <w:rsid w:val="003E6456"/>
    <w:rsid w:val="003E7534"/>
    <w:rsid w:val="003E7AB9"/>
    <w:rsid w:val="003F0F1A"/>
    <w:rsid w:val="003F1D5A"/>
    <w:rsid w:val="003F5705"/>
    <w:rsid w:val="00400C97"/>
    <w:rsid w:val="004019E2"/>
    <w:rsid w:val="0040218B"/>
    <w:rsid w:val="004026A7"/>
    <w:rsid w:val="0040316D"/>
    <w:rsid w:val="00405487"/>
    <w:rsid w:val="004056A6"/>
    <w:rsid w:val="004078AC"/>
    <w:rsid w:val="00410170"/>
    <w:rsid w:val="0041053B"/>
    <w:rsid w:val="004151DB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597"/>
    <w:rsid w:val="00424424"/>
    <w:rsid w:val="00424B23"/>
    <w:rsid w:val="0042689A"/>
    <w:rsid w:val="004301F5"/>
    <w:rsid w:val="004318CC"/>
    <w:rsid w:val="0043364D"/>
    <w:rsid w:val="00434552"/>
    <w:rsid w:val="0043686D"/>
    <w:rsid w:val="00436928"/>
    <w:rsid w:val="004376E9"/>
    <w:rsid w:val="004411A7"/>
    <w:rsid w:val="00441EE0"/>
    <w:rsid w:val="0044318D"/>
    <w:rsid w:val="00445018"/>
    <w:rsid w:val="00451254"/>
    <w:rsid w:val="00452595"/>
    <w:rsid w:val="004552F6"/>
    <w:rsid w:val="004554DB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702"/>
    <w:rsid w:val="0048392E"/>
    <w:rsid w:val="004860B7"/>
    <w:rsid w:val="00487D63"/>
    <w:rsid w:val="00490759"/>
    <w:rsid w:val="00490ABA"/>
    <w:rsid w:val="00490AF5"/>
    <w:rsid w:val="00490DCB"/>
    <w:rsid w:val="00491091"/>
    <w:rsid w:val="00492521"/>
    <w:rsid w:val="00495243"/>
    <w:rsid w:val="004956A4"/>
    <w:rsid w:val="004A0404"/>
    <w:rsid w:val="004A189B"/>
    <w:rsid w:val="004A3413"/>
    <w:rsid w:val="004A3E2E"/>
    <w:rsid w:val="004A684A"/>
    <w:rsid w:val="004A7B7F"/>
    <w:rsid w:val="004B0D16"/>
    <w:rsid w:val="004B0F0E"/>
    <w:rsid w:val="004B1D8D"/>
    <w:rsid w:val="004B3353"/>
    <w:rsid w:val="004B7064"/>
    <w:rsid w:val="004B743D"/>
    <w:rsid w:val="004C17E7"/>
    <w:rsid w:val="004C1D6C"/>
    <w:rsid w:val="004C2C32"/>
    <w:rsid w:val="004C348C"/>
    <w:rsid w:val="004C4125"/>
    <w:rsid w:val="004C46DC"/>
    <w:rsid w:val="004C4CCE"/>
    <w:rsid w:val="004C4EA4"/>
    <w:rsid w:val="004C4FC0"/>
    <w:rsid w:val="004C5C95"/>
    <w:rsid w:val="004C5F80"/>
    <w:rsid w:val="004C662B"/>
    <w:rsid w:val="004C7A50"/>
    <w:rsid w:val="004D07CF"/>
    <w:rsid w:val="004D0BCB"/>
    <w:rsid w:val="004D21CB"/>
    <w:rsid w:val="004D2D27"/>
    <w:rsid w:val="004D4690"/>
    <w:rsid w:val="004D6B72"/>
    <w:rsid w:val="004E1421"/>
    <w:rsid w:val="004E6654"/>
    <w:rsid w:val="004E7EA6"/>
    <w:rsid w:val="004F222F"/>
    <w:rsid w:val="004F39DB"/>
    <w:rsid w:val="004F4AA1"/>
    <w:rsid w:val="004F4C27"/>
    <w:rsid w:val="004F6192"/>
    <w:rsid w:val="004F6343"/>
    <w:rsid w:val="004F645C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406D"/>
    <w:rsid w:val="0052423C"/>
    <w:rsid w:val="005303B6"/>
    <w:rsid w:val="00530415"/>
    <w:rsid w:val="0053058F"/>
    <w:rsid w:val="005308D1"/>
    <w:rsid w:val="005311FA"/>
    <w:rsid w:val="005327A3"/>
    <w:rsid w:val="005355FD"/>
    <w:rsid w:val="00537606"/>
    <w:rsid w:val="0054024A"/>
    <w:rsid w:val="00541074"/>
    <w:rsid w:val="00542AED"/>
    <w:rsid w:val="00544F22"/>
    <w:rsid w:val="0054500D"/>
    <w:rsid w:val="00546BB0"/>
    <w:rsid w:val="0055013F"/>
    <w:rsid w:val="0055067D"/>
    <w:rsid w:val="00550A32"/>
    <w:rsid w:val="00551479"/>
    <w:rsid w:val="005514C4"/>
    <w:rsid w:val="00551BD7"/>
    <w:rsid w:val="00553137"/>
    <w:rsid w:val="00554462"/>
    <w:rsid w:val="00555FBE"/>
    <w:rsid w:val="00561800"/>
    <w:rsid w:val="00561B6A"/>
    <w:rsid w:val="00562049"/>
    <w:rsid w:val="00562714"/>
    <w:rsid w:val="00562945"/>
    <w:rsid w:val="00563426"/>
    <w:rsid w:val="00563D68"/>
    <w:rsid w:val="00564628"/>
    <w:rsid w:val="0056713B"/>
    <w:rsid w:val="00567700"/>
    <w:rsid w:val="00567905"/>
    <w:rsid w:val="00567C07"/>
    <w:rsid w:val="00570093"/>
    <w:rsid w:val="00570246"/>
    <w:rsid w:val="00571075"/>
    <w:rsid w:val="00572869"/>
    <w:rsid w:val="00572F15"/>
    <w:rsid w:val="00573D85"/>
    <w:rsid w:val="00576CB3"/>
    <w:rsid w:val="00576ED3"/>
    <w:rsid w:val="005800D6"/>
    <w:rsid w:val="00580BEB"/>
    <w:rsid w:val="00582721"/>
    <w:rsid w:val="00582F64"/>
    <w:rsid w:val="0058355E"/>
    <w:rsid w:val="00583FE2"/>
    <w:rsid w:val="0058633C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2393"/>
    <w:rsid w:val="005A3313"/>
    <w:rsid w:val="005A5023"/>
    <w:rsid w:val="005A75F4"/>
    <w:rsid w:val="005A7C5A"/>
    <w:rsid w:val="005B0190"/>
    <w:rsid w:val="005B0498"/>
    <w:rsid w:val="005B1696"/>
    <w:rsid w:val="005B1E66"/>
    <w:rsid w:val="005B2109"/>
    <w:rsid w:val="005B4C91"/>
    <w:rsid w:val="005B6DCA"/>
    <w:rsid w:val="005C2F13"/>
    <w:rsid w:val="005C369C"/>
    <w:rsid w:val="005C3852"/>
    <w:rsid w:val="005C408B"/>
    <w:rsid w:val="005C579D"/>
    <w:rsid w:val="005D0A0D"/>
    <w:rsid w:val="005D1B16"/>
    <w:rsid w:val="005D1F29"/>
    <w:rsid w:val="005D2354"/>
    <w:rsid w:val="005D33FF"/>
    <w:rsid w:val="005D50F7"/>
    <w:rsid w:val="005D53F2"/>
    <w:rsid w:val="005D5BCC"/>
    <w:rsid w:val="005E111E"/>
    <w:rsid w:val="005E1C24"/>
    <w:rsid w:val="005E1E37"/>
    <w:rsid w:val="005E1F85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0AFC"/>
    <w:rsid w:val="005F1542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3EB6"/>
    <w:rsid w:val="0060459D"/>
    <w:rsid w:val="0060667E"/>
    <w:rsid w:val="00607047"/>
    <w:rsid w:val="00607C6A"/>
    <w:rsid w:val="00611067"/>
    <w:rsid w:val="00611C81"/>
    <w:rsid w:val="006126D1"/>
    <w:rsid w:val="0061487A"/>
    <w:rsid w:val="006168DB"/>
    <w:rsid w:val="00616B58"/>
    <w:rsid w:val="00617710"/>
    <w:rsid w:val="00621572"/>
    <w:rsid w:val="00622F69"/>
    <w:rsid w:val="006236E1"/>
    <w:rsid w:val="006239A3"/>
    <w:rsid w:val="00623B17"/>
    <w:rsid w:val="00624002"/>
    <w:rsid w:val="006246AF"/>
    <w:rsid w:val="00624CF0"/>
    <w:rsid w:val="00625163"/>
    <w:rsid w:val="0062523F"/>
    <w:rsid w:val="00626E78"/>
    <w:rsid w:val="006270F9"/>
    <w:rsid w:val="0062784C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D5F"/>
    <w:rsid w:val="00633FB8"/>
    <w:rsid w:val="006373BC"/>
    <w:rsid w:val="0063790E"/>
    <w:rsid w:val="00637AF4"/>
    <w:rsid w:val="00640F43"/>
    <w:rsid w:val="00642EF5"/>
    <w:rsid w:val="0064462F"/>
    <w:rsid w:val="00644CA4"/>
    <w:rsid w:val="0064594C"/>
    <w:rsid w:val="00645EEC"/>
    <w:rsid w:val="00645F85"/>
    <w:rsid w:val="006535F3"/>
    <w:rsid w:val="00653840"/>
    <w:rsid w:val="00654DCC"/>
    <w:rsid w:val="00655CC1"/>
    <w:rsid w:val="0065705B"/>
    <w:rsid w:val="00657286"/>
    <w:rsid w:val="0065763C"/>
    <w:rsid w:val="00662983"/>
    <w:rsid w:val="0066490C"/>
    <w:rsid w:val="00670E06"/>
    <w:rsid w:val="006711CD"/>
    <w:rsid w:val="00671B98"/>
    <w:rsid w:val="006720D7"/>
    <w:rsid w:val="00673079"/>
    <w:rsid w:val="00674A9C"/>
    <w:rsid w:val="00674FB5"/>
    <w:rsid w:val="0067547D"/>
    <w:rsid w:val="006773A2"/>
    <w:rsid w:val="006809DB"/>
    <w:rsid w:val="006830EE"/>
    <w:rsid w:val="00683ADF"/>
    <w:rsid w:val="00683DB6"/>
    <w:rsid w:val="00685810"/>
    <w:rsid w:val="0068676E"/>
    <w:rsid w:val="00692312"/>
    <w:rsid w:val="006930D9"/>
    <w:rsid w:val="00694168"/>
    <w:rsid w:val="00694B14"/>
    <w:rsid w:val="00696B87"/>
    <w:rsid w:val="00697EE7"/>
    <w:rsid w:val="006A05D1"/>
    <w:rsid w:val="006A5408"/>
    <w:rsid w:val="006A6141"/>
    <w:rsid w:val="006A705C"/>
    <w:rsid w:val="006B3B30"/>
    <w:rsid w:val="006B5223"/>
    <w:rsid w:val="006B71B1"/>
    <w:rsid w:val="006B7B81"/>
    <w:rsid w:val="006C06E4"/>
    <w:rsid w:val="006C075C"/>
    <w:rsid w:val="006C09F2"/>
    <w:rsid w:val="006C2640"/>
    <w:rsid w:val="006C310D"/>
    <w:rsid w:val="006C7EA5"/>
    <w:rsid w:val="006D036B"/>
    <w:rsid w:val="006D2EDB"/>
    <w:rsid w:val="006D3110"/>
    <w:rsid w:val="006D37BA"/>
    <w:rsid w:val="006D3A8F"/>
    <w:rsid w:val="006D6B31"/>
    <w:rsid w:val="006D7B9E"/>
    <w:rsid w:val="006E13B1"/>
    <w:rsid w:val="006E1DF5"/>
    <w:rsid w:val="006E2623"/>
    <w:rsid w:val="006E2C89"/>
    <w:rsid w:val="006E3BA6"/>
    <w:rsid w:val="006E3DFF"/>
    <w:rsid w:val="006E7B6B"/>
    <w:rsid w:val="006E7E42"/>
    <w:rsid w:val="006F1BF7"/>
    <w:rsid w:val="006F436E"/>
    <w:rsid w:val="006F4746"/>
    <w:rsid w:val="006F4877"/>
    <w:rsid w:val="006F5285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487A"/>
    <w:rsid w:val="00715D4F"/>
    <w:rsid w:val="00716F22"/>
    <w:rsid w:val="00717D9B"/>
    <w:rsid w:val="0072211A"/>
    <w:rsid w:val="0072216B"/>
    <w:rsid w:val="00725B63"/>
    <w:rsid w:val="00726DB5"/>
    <w:rsid w:val="00727884"/>
    <w:rsid w:val="00727DB3"/>
    <w:rsid w:val="00730CF7"/>
    <w:rsid w:val="007314F1"/>
    <w:rsid w:val="00733836"/>
    <w:rsid w:val="00734025"/>
    <w:rsid w:val="007344CC"/>
    <w:rsid w:val="007351F3"/>
    <w:rsid w:val="00735CE2"/>
    <w:rsid w:val="007373B6"/>
    <w:rsid w:val="007376BC"/>
    <w:rsid w:val="00737DEB"/>
    <w:rsid w:val="00740842"/>
    <w:rsid w:val="0074320E"/>
    <w:rsid w:val="00743441"/>
    <w:rsid w:val="00745B45"/>
    <w:rsid w:val="00747AB4"/>
    <w:rsid w:val="00752EAA"/>
    <w:rsid w:val="00756583"/>
    <w:rsid w:val="007569AA"/>
    <w:rsid w:val="00756F22"/>
    <w:rsid w:val="007577D5"/>
    <w:rsid w:val="007602C1"/>
    <w:rsid w:val="00760368"/>
    <w:rsid w:val="007604DE"/>
    <w:rsid w:val="00760D39"/>
    <w:rsid w:val="007612EB"/>
    <w:rsid w:val="007615CD"/>
    <w:rsid w:val="0076178E"/>
    <w:rsid w:val="007631BE"/>
    <w:rsid w:val="007633E4"/>
    <w:rsid w:val="00763ED9"/>
    <w:rsid w:val="0076434F"/>
    <w:rsid w:val="00764E91"/>
    <w:rsid w:val="007663F6"/>
    <w:rsid w:val="00766921"/>
    <w:rsid w:val="0077257E"/>
    <w:rsid w:val="00772B4F"/>
    <w:rsid w:val="00772BDC"/>
    <w:rsid w:val="007731BC"/>
    <w:rsid w:val="00774230"/>
    <w:rsid w:val="007744F5"/>
    <w:rsid w:val="00775414"/>
    <w:rsid w:val="00776228"/>
    <w:rsid w:val="0077683A"/>
    <w:rsid w:val="00777679"/>
    <w:rsid w:val="0078033A"/>
    <w:rsid w:val="00780A7B"/>
    <w:rsid w:val="00780F87"/>
    <w:rsid w:val="00782AE0"/>
    <w:rsid w:val="0078315C"/>
    <w:rsid w:val="0078357E"/>
    <w:rsid w:val="00784701"/>
    <w:rsid w:val="0078598A"/>
    <w:rsid w:val="00785ED3"/>
    <w:rsid w:val="00786F62"/>
    <w:rsid w:val="00791162"/>
    <w:rsid w:val="0079144C"/>
    <w:rsid w:val="00791AF0"/>
    <w:rsid w:val="00792386"/>
    <w:rsid w:val="007932B7"/>
    <w:rsid w:val="007935A3"/>
    <w:rsid w:val="007935F5"/>
    <w:rsid w:val="00793798"/>
    <w:rsid w:val="00793A97"/>
    <w:rsid w:val="00793AD3"/>
    <w:rsid w:val="00794DB4"/>
    <w:rsid w:val="0079702C"/>
    <w:rsid w:val="007A3A34"/>
    <w:rsid w:val="007A41AE"/>
    <w:rsid w:val="007A578F"/>
    <w:rsid w:val="007A6732"/>
    <w:rsid w:val="007A7DC9"/>
    <w:rsid w:val="007B0453"/>
    <w:rsid w:val="007B0EA6"/>
    <w:rsid w:val="007B26C5"/>
    <w:rsid w:val="007B285C"/>
    <w:rsid w:val="007B3323"/>
    <w:rsid w:val="007B49F1"/>
    <w:rsid w:val="007B4AC1"/>
    <w:rsid w:val="007B5A25"/>
    <w:rsid w:val="007B708E"/>
    <w:rsid w:val="007B7C90"/>
    <w:rsid w:val="007C1795"/>
    <w:rsid w:val="007C1914"/>
    <w:rsid w:val="007C2251"/>
    <w:rsid w:val="007C3D20"/>
    <w:rsid w:val="007C48D0"/>
    <w:rsid w:val="007C49AD"/>
    <w:rsid w:val="007C4A73"/>
    <w:rsid w:val="007C5F62"/>
    <w:rsid w:val="007C63EF"/>
    <w:rsid w:val="007C78B0"/>
    <w:rsid w:val="007D0C20"/>
    <w:rsid w:val="007D21FE"/>
    <w:rsid w:val="007D2289"/>
    <w:rsid w:val="007D2998"/>
    <w:rsid w:val="007D5B36"/>
    <w:rsid w:val="007D67DF"/>
    <w:rsid w:val="007D6DE1"/>
    <w:rsid w:val="007E1857"/>
    <w:rsid w:val="007E2657"/>
    <w:rsid w:val="007E6D1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801E39"/>
    <w:rsid w:val="0080270F"/>
    <w:rsid w:val="00803C98"/>
    <w:rsid w:val="00803DE3"/>
    <w:rsid w:val="008046E1"/>
    <w:rsid w:val="008107A3"/>
    <w:rsid w:val="00811AB3"/>
    <w:rsid w:val="00815441"/>
    <w:rsid w:val="00815A6D"/>
    <w:rsid w:val="00816D1D"/>
    <w:rsid w:val="0082503F"/>
    <w:rsid w:val="00826681"/>
    <w:rsid w:val="00827810"/>
    <w:rsid w:val="008330E1"/>
    <w:rsid w:val="008332B9"/>
    <w:rsid w:val="00834F24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4E92"/>
    <w:rsid w:val="008758C5"/>
    <w:rsid w:val="00875EA3"/>
    <w:rsid w:val="00877918"/>
    <w:rsid w:val="00880695"/>
    <w:rsid w:val="00880BFD"/>
    <w:rsid w:val="008827B0"/>
    <w:rsid w:val="00885708"/>
    <w:rsid w:val="008863FE"/>
    <w:rsid w:val="00886796"/>
    <w:rsid w:val="00886EFF"/>
    <w:rsid w:val="00887726"/>
    <w:rsid w:val="00887B00"/>
    <w:rsid w:val="00890115"/>
    <w:rsid w:val="00890701"/>
    <w:rsid w:val="00892DE9"/>
    <w:rsid w:val="00893642"/>
    <w:rsid w:val="0089511B"/>
    <w:rsid w:val="00896376"/>
    <w:rsid w:val="008974B6"/>
    <w:rsid w:val="008A082C"/>
    <w:rsid w:val="008A20B6"/>
    <w:rsid w:val="008A2483"/>
    <w:rsid w:val="008A2CF8"/>
    <w:rsid w:val="008A4448"/>
    <w:rsid w:val="008A4ED0"/>
    <w:rsid w:val="008A5467"/>
    <w:rsid w:val="008A552A"/>
    <w:rsid w:val="008A6638"/>
    <w:rsid w:val="008A6C2C"/>
    <w:rsid w:val="008A7467"/>
    <w:rsid w:val="008A7775"/>
    <w:rsid w:val="008B51AA"/>
    <w:rsid w:val="008C040A"/>
    <w:rsid w:val="008C13C0"/>
    <w:rsid w:val="008C4C44"/>
    <w:rsid w:val="008C5827"/>
    <w:rsid w:val="008C67C6"/>
    <w:rsid w:val="008C6A2A"/>
    <w:rsid w:val="008D0787"/>
    <w:rsid w:val="008D0904"/>
    <w:rsid w:val="008D174C"/>
    <w:rsid w:val="008D2630"/>
    <w:rsid w:val="008D3721"/>
    <w:rsid w:val="008D7167"/>
    <w:rsid w:val="008D761B"/>
    <w:rsid w:val="008D7825"/>
    <w:rsid w:val="008D7D33"/>
    <w:rsid w:val="008E03CD"/>
    <w:rsid w:val="008E0865"/>
    <w:rsid w:val="008E2A06"/>
    <w:rsid w:val="008E5414"/>
    <w:rsid w:val="008E73A0"/>
    <w:rsid w:val="008E796E"/>
    <w:rsid w:val="008E7E17"/>
    <w:rsid w:val="008F185B"/>
    <w:rsid w:val="008F3029"/>
    <w:rsid w:val="008F32CB"/>
    <w:rsid w:val="008F4501"/>
    <w:rsid w:val="008F45C7"/>
    <w:rsid w:val="008F4D56"/>
    <w:rsid w:val="008F54DA"/>
    <w:rsid w:val="008F5C9E"/>
    <w:rsid w:val="0090011D"/>
    <w:rsid w:val="0090091C"/>
    <w:rsid w:val="0090132F"/>
    <w:rsid w:val="00901964"/>
    <w:rsid w:val="00901A63"/>
    <w:rsid w:val="0090736E"/>
    <w:rsid w:val="00907410"/>
    <w:rsid w:val="009124D3"/>
    <w:rsid w:val="00913735"/>
    <w:rsid w:val="00913BEF"/>
    <w:rsid w:val="00914F97"/>
    <w:rsid w:val="009151FE"/>
    <w:rsid w:val="009168A6"/>
    <w:rsid w:val="009170CF"/>
    <w:rsid w:val="009226C9"/>
    <w:rsid w:val="00922A48"/>
    <w:rsid w:val="0092361D"/>
    <w:rsid w:val="00923C30"/>
    <w:rsid w:val="00924389"/>
    <w:rsid w:val="009243F0"/>
    <w:rsid w:val="00926E99"/>
    <w:rsid w:val="00926EB5"/>
    <w:rsid w:val="00927583"/>
    <w:rsid w:val="00927B6C"/>
    <w:rsid w:val="00927F59"/>
    <w:rsid w:val="009305A8"/>
    <w:rsid w:val="009306ED"/>
    <w:rsid w:val="00931843"/>
    <w:rsid w:val="00933905"/>
    <w:rsid w:val="00934375"/>
    <w:rsid w:val="00935B0C"/>
    <w:rsid w:val="00936094"/>
    <w:rsid w:val="009366AF"/>
    <w:rsid w:val="00936C37"/>
    <w:rsid w:val="00940C05"/>
    <w:rsid w:val="00941068"/>
    <w:rsid w:val="009415CE"/>
    <w:rsid w:val="0094234A"/>
    <w:rsid w:val="009424B9"/>
    <w:rsid w:val="009428A0"/>
    <w:rsid w:val="00945323"/>
    <w:rsid w:val="009463B8"/>
    <w:rsid w:val="00952200"/>
    <w:rsid w:val="0095268F"/>
    <w:rsid w:val="00953AA6"/>
    <w:rsid w:val="00955462"/>
    <w:rsid w:val="009561C2"/>
    <w:rsid w:val="0095786A"/>
    <w:rsid w:val="009635AE"/>
    <w:rsid w:val="00963DD0"/>
    <w:rsid w:val="00965AAF"/>
    <w:rsid w:val="00966DA1"/>
    <w:rsid w:val="0097233A"/>
    <w:rsid w:val="00972580"/>
    <w:rsid w:val="0097522E"/>
    <w:rsid w:val="00976445"/>
    <w:rsid w:val="009803F5"/>
    <w:rsid w:val="00980C53"/>
    <w:rsid w:val="0098171E"/>
    <w:rsid w:val="00983062"/>
    <w:rsid w:val="00983406"/>
    <w:rsid w:val="00983C8F"/>
    <w:rsid w:val="0098563C"/>
    <w:rsid w:val="0098583D"/>
    <w:rsid w:val="00986EFD"/>
    <w:rsid w:val="00987049"/>
    <w:rsid w:val="00987C66"/>
    <w:rsid w:val="00990552"/>
    <w:rsid w:val="009913A1"/>
    <w:rsid w:val="00991A50"/>
    <w:rsid w:val="009933D8"/>
    <w:rsid w:val="009936CB"/>
    <w:rsid w:val="0099650C"/>
    <w:rsid w:val="0099705E"/>
    <w:rsid w:val="009A1B31"/>
    <w:rsid w:val="009A30FC"/>
    <w:rsid w:val="009A3333"/>
    <w:rsid w:val="009A6E35"/>
    <w:rsid w:val="009A7D80"/>
    <w:rsid w:val="009B0480"/>
    <w:rsid w:val="009B04B1"/>
    <w:rsid w:val="009B17E7"/>
    <w:rsid w:val="009B1BE8"/>
    <w:rsid w:val="009B5773"/>
    <w:rsid w:val="009B5E91"/>
    <w:rsid w:val="009C39FD"/>
    <w:rsid w:val="009C3C97"/>
    <w:rsid w:val="009C43CB"/>
    <w:rsid w:val="009C43DC"/>
    <w:rsid w:val="009C597C"/>
    <w:rsid w:val="009C59F2"/>
    <w:rsid w:val="009C7B9B"/>
    <w:rsid w:val="009D0228"/>
    <w:rsid w:val="009D044D"/>
    <w:rsid w:val="009D233D"/>
    <w:rsid w:val="009D2698"/>
    <w:rsid w:val="009D270A"/>
    <w:rsid w:val="009D2BAD"/>
    <w:rsid w:val="009D3A40"/>
    <w:rsid w:val="009D4F42"/>
    <w:rsid w:val="009D74EF"/>
    <w:rsid w:val="009E230B"/>
    <w:rsid w:val="009E3843"/>
    <w:rsid w:val="009E541E"/>
    <w:rsid w:val="009E561B"/>
    <w:rsid w:val="009E5C11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5E78"/>
    <w:rsid w:val="00A17156"/>
    <w:rsid w:val="00A2052A"/>
    <w:rsid w:val="00A21003"/>
    <w:rsid w:val="00A22A9C"/>
    <w:rsid w:val="00A23ECF"/>
    <w:rsid w:val="00A26021"/>
    <w:rsid w:val="00A319A1"/>
    <w:rsid w:val="00A31C39"/>
    <w:rsid w:val="00A31D4B"/>
    <w:rsid w:val="00A3257F"/>
    <w:rsid w:val="00A338AD"/>
    <w:rsid w:val="00A34EEF"/>
    <w:rsid w:val="00A37920"/>
    <w:rsid w:val="00A428A1"/>
    <w:rsid w:val="00A44C76"/>
    <w:rsid w:val="00A4614D"/>
    <w:rsid w:val="00A46FC1"/>
    <w:rsid w:val="00A47F15"/>
    <w:rsid w:val="00A51179"/>
    <w:rsid w:val="00A562FD"/>
    <w:rsid w:val="00A56D40"/>
    <w:rsid w:val="00A60333"/>
    <w:rsid w:val="00A6069F"/>
    <w:rsid w:val="00A61094"/>
    <w:rsid w:val="00A617C9"/>
    <w:rsid w:val="00A6471E"/>
    <w:rsid w:val="00A64A0C"/>
    <w:rsid w:val="00A64B03"/>
    <w:rsid w:val="00A65727"/>
    <w:rsid w:val="00A666DC"/>
    <w:rsid w:val="00A67FEB"/>
    <w:rsid w:val="00A70784"/>
    <w:rsid w:val="00A729B4"/>
    <w:rsid w:val="00A72A7E"/>
    <w:rsid w:val="00A73003"/>
    <w:rsid w:val="00A73915"/>
    <w:rsid w:val="00A74265"/>
    <w:rsid w:val="00A74CA9"/>
    <w:rsid w:val="00A753DC"/>
    <w:rsid w:val="00A769D9"/>
    <w:rsid w:val="00A800B8"/>
    <w:rsid w:val="00A800D0"/>
    <w:rsid w:val="00A80FB2"/>
    <w:rsid w:val="00A822D5"/>
    <w:rsid w:val="00A82CE4"/>
    <w:rsid w:val="00A84A66"/>
    <w:rsid w:val="00A856A6"/>
    <w:rsid w:val="00A856EE"/>
    <w:rsid w:val="00A85F69"/>
    <w:rsid w:val="00A92C43"/>
    <w:rsid w:val="00A95FBF"/>
    <w:rsid w:val="00A96006"/>
    <w:rsid w:val="00A97EB0"/>
    <w:rsid w:val="00AA0842"/>
    <w:rsid w:val="00AA10CD"/>
    <w:rsid w:val="00AA187B"/>
    <w:rsid w:val="00AA1930"/>
    <w:rsid w:val="00AA23D9"/>
    <w:rsid w:val="00AA3551"/>
    <w:rsid w:val="00AA7488"/>
    <w:rsid w:val="00AB113C"/>
    <w:rsid w:val="00AB1B4E"/>
    <w:rsid w:val="00AB1F13"/>
    <w:rsid w:val="00AB2511"/>
    <w:rsid w:val="00AB3418"/>
    <w:rsid w:val="00AB4FFE"/>
    <w:rsid w:val="00AB5492"/>
    <w:rsid w:val="00AB54BB"/>
    <w:rsid w:val="00AB6675"/>
    <w:rsid w:val="00AB6B25"/>
    <w:rsid w:val="00AC1A22"/>
    <w:rsid w:val="00AC3DF0"/>
    <w:rsid w:val="00AC4781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4782"/>
    <w:rsid w:val="00AE4967"/>
    <w:rsid w:val="00AE75E5"/>
    <w:rsid w:val="00AF37A5"/>
    <w:rsid w:val="00AF60C3"/>
    <w:rsid w:val="00AF62A3"/>
    <w:rsid w:val="00AF7034"/>
    <w:rsid w:val="00B01F41"/>
    <w:rsid w:val="00B03E03"/>
    <w:rsid w:val="00B03E6C"/>
    <w:rsid w:val="00B044C1"/>
    <w:rsid w:val="00B07A1B"/>
    <w:rsid w:val="00B1011F"/>
    <w:rsid w:val="00B107FE"/>
    <w:rsid w:val="00B108DF"/>
    <w:rsid w:val="00B1187B"/>
    <w:rsid w:val="00B13DD9"/>
    <w:rsid w:val="00B14320"/>
    <w:rsid w:val="00B149FA"/>
    <w:rsid w:val="00B16A8E"/>
    <w:rsid w:val="00B16E2E"/>
    <w:rsid w:val="00B205CC"/>
    <w:rsid w:val="00B20A3A"/>
    <w:rsid w:val="00B20E85"/>
    <w:rsid w:val="00B20F73"/>
    <w:rsid w:val="00B214BA"/>
    <w:rsid w:val="00B2178A"/>
    <w:rsid w:val="00B21BA6"/>
    <w:rsid w:val="00B22E74"/>
    <w:rsid w:val="00B23FF4"/>
    <w:rsid w:val="00B2407F"/>
    <w:rsid w:val="00B252C8"/>
    <w:rsid w:val="00B26E05"/>
    <w:rsid w:val="00B30C4A"/>
    <w:rsid w:val="00B3261D"/>
    <w:rsid w:val="00B3317A"/>
    <w:rsid w:val="00B3631C"/>
    <w:rsid w:val="00B363FE"/>
    <w:rsid w:val="00B42DD9"/>
    <w:rsid w:val="00B4303E"/>
    <w:rsid w:val="00B4353D"/>
    <w:rsid w:val="00B4370D"/>
    <w:rsid w:val="00B471A2"/>
    <w:rsid w:val="00B4729E"/>
    <w:rsid w:val="00B51331"/>
    <w:rsid w:val="00B51A0E"/>
    <w:rsid w:val="00B525BA"/>
    <w:rsid w:val="00B52F4A"/>
    <w:rsid w:val="00B52FA6"/>
    <w:rsid w:val="00B53DD8"/>
    <w:rsid w:val="00B53EF0"/>
    <w:rsid w:val="00B5568C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678BC"/>
    <w:rsid w:val="00B71364"/>
    <w:rsid w:val="00B720B1"/>
    <w:rsid w:val="00B72236"/>
    <w:rsid w:val="00B725DB"/>
    <w:rsid w:val="00B736C9"/>
    <w:rsid w:val="00B73996"/>
    <w:rsid w:val="00B73AB0"/>
    <w:rsid w:val="00B77957"/>
    <w:rsid w:val="00B80979"/>
    <w:rsid w:val="00B82670"/>
    <w:rsid w:val="00B84B6A"/>
    <w:rsid w:val="00B84B76"/>
    <w:rsid w:val="00B937F2"/>
    <w:rsid w:val="00B941FA"/>
    <w:rsid w:val="00B9449F"/>
    <w:rsid w:val="00B9455F"/>
    <w:rsid w:val="00B94B9D"/>
    <w:rsid w:val="00B95E5C"/>
    <w:rsid w:val="00B97B8D"/>
    <w:rsid w:val="00BA0C0C"/>
    <w:rsid w:val="00BA312B"/>
    <w:rsid w:val="00BA66A5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1AFC"/>
    <w:rsid w:val="00BC246D"/>
    <w:rsid w:val="00BC3539"/>
    <w:rsid w:val="00BC38CC"/>
    <w:rsid w:val="00BC3BDD"/>
    <w:rsid w:val="00BC493A"/>
    <w:rsid w:val="00BC56FA"/>
    <w:rsid w:val="00BC6228"/>
    <w:rsid w:val="00BC73B1"/>
    <w:rsid w:val="00BD08E8"/>
    <w:rsid w:val="00BD29F1"/>
    <w:rsid w:val="00BD2B27"/>
    <w:rsid w:val="00BD38EB"/>
    <w:rsid w:val="00BD5924"/>
    <w:rsid w:val="00BD5D6C"/>
    <w:rsid w:val="00BD5F32"/>
    <w:rsid w:val="00BD62FB"/>
    <w:rsid w:val="00BD72E6"/>
    <w:rsid w:val="00BE2B32"/>
    <w:rsid w:val="00BE3166"/>
    <w:rsid w:val="00BE36B4"/>
    <w:rsid w:val="00BE501E"/>
    <w:rsid w:val="00BE5B1D"/>
    <w:rsid w:val="00BE5F20"/>
    <w:rsid w:val="00BE6880"/>
    <w:rsid w:val="00BF14AC"/>
    <w:rsid w:val="00BF1506"/>
    <w:rsid w:val="00BF1A42"/>
    <w:rsid w:val="00BF2975"/>
    <w:rsid w:val="00BF41DC"/>
    <w:rsid w:val="00BF6467"/>
    <w:rsid w:val="00BF6C89"/>
    <w:rsid w:val="00C006C9"/>
    <w:rsid w:val="00C052CB"/>
    <w:rsid w:val="00C05DCE"/>
    <w:rsid w:val="00C107F3"/>
    <w:rsid w:val="00C1105C"/>
    <w:rsid w:val="00C15F5F"/>
    <w:rsid w:val="00C164FE"/>
    <w:rsid w:val="00C20FB3"/>
    <w:rsid w:val="00C220BA"/>
    <w:rsid w:val="00C22873"/>
    <w:rsid w:val="00C22A81"/>
    <w:rsid w:val="00C23D84"/>
    <w:rsid w:val="00C276C3"/>
    <w:rsid w:val="00C27733"/>
    <w:rsid w:val="00C315F9"/>
    <w:rsid w:val="00C31D11"/>
    <w:rsid w:val="00C31EFA"/>
    <w:rsid w:val="00C3284F"/>
    <w:rsid w:val="00C36BEB"/>
    <w:rsid w:val="00C3700F"/>
    <w:rsid w:val="00C3747E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4DD7"/>
    <w:rsid w:val="00C560CC"/>
    <w:rsid w:val="00C57603"/>
    <w:rsid w:val="00C6043F"/>
    <w:rsid w:val="00C6522E"/>
    <w:rsid w:val="00C6576A"/>
    <w:rsid w:val="00C657D3"/>
    <w:rsid w:val="00C65B10"/>
    <w:rsid w:val="00C66006"/>
    <w:rsid w:val="00C668B6"/>
    <w:rsid w:val="00C72C81"/>
    <w:rsid w:val="00C73054"/>
    <w:rsid w:val="00C73C5E"/>
    <w:rsid w:val="00C74A75"/>
    <w:rsid w:val="00C7579C"/>
    <w:rsid w:val="00C76726"/>
    <w:rsid w:val="00C80A8B"/>
    <w:rsid w:val="00C814FC"/>
    <w:rsid w:val="00C82A50"/>
    <w:rsid w:val="00C82B9E"/>
    <w:rsid w:val="00C869A7"/>
    <w:rsid w:val="00C86A46"/>
    <w:rsid w:val="00C87FC0"/>
    <w:rsid w:val="00C923D6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2990"/>
    <w:rsid w:val="00CB2E6B"/>
    <w:rsid w:val="00CB31F6"/>
    <w:rsid w:val="00CB3D39"/>
    <w:rsid w:val="00CB4AAA"/>
    <w:rsid w:val="00CB5B3C"/>
    <w:rsid w:val="00CB7801"/>
    <w:rsid w:val="00CB7DDB"/>
    <w:rsid w:val="00CC0200"/>
    <w:rsid w:val="00CC025C"/>
    <w:rsid w:val="00CC05FE"/>
    <w:rsid w:val="00CC08EB"/>
    <w:rsid w:val="00CC2A78"/>
    <w:rsid w:val="00CC3B53"/>
    <w:rsid w:val="00CC6163"/>
    <w:rsid w:val="00CC7001"/>
    <w:rsid w:val="00CC70ED"/>
    <w:rsid w:val="00CC7B39"/>
    <w:rsid w:val="00CC7F9B"/>
    <w:rsid w:val="00CD2318"/>
    <w:rsid w:val="00CD36C0"/>
    <w:rsid w:val="00CD4AE1"/>
    <w:rsid w:val="00CD504B"/>
    <w:rsid w:val="00CD64A5"/>
    <w:rsid w:val="00CD75BC"/>
    <w:rsid w:val="00CE0CD6"/>
    <w:rsid w:val="00CE13C6"/>
    <w:rsid w:val="00CE1602"/>
    <w:rsid w:val="00CE1A12"/>
    <w:rsid w:val="00CE1ED5"/>
    <w:rsid w:val="00CE5901"/>
    <w:rsid w:val="00CE6B23"/>
    <w:rsid w:val="00CF307A"/>
    <w:rsid w:val="00CF4ABF"/>
    <w:rsid w:val="00CF4CB8"/>
    <w:rsid w:val="00CF59A8"/>
    <w:rsid w:val="00CF5A7C"/>
    <w:rsid w:val="00CF5CAF"/>
    <w:rsid w:val="00CF6D11"/>
    <w:rsid w:val="00D01285"/>
    <w:rsid w:val="00D03E51"/>
    <w:rsid w:val="00D0449C"/>
    <w:rsid w:val="00D04716"/>
    <w:rsid w:val="00D049D4"/>
    <w:rsid w:val="00D051F6"/>
    <w:rsid w:val="00D07C00"/>
    <w:rsid w:val="00D10671"/>
    <w:rsid w:val="00D11484"/>
    <w:rsid w:val="00D119A7"/>
    <w:rsid w:val="00D1328B"/>
    <w:rsid w:val="00D15ED4"/>
    <w:rsid w:val="00D15FBF"/>
    <w:rsid w:val="00D16164"/>
    <w:rsid w:val="00D22F0E"/>
    <w:rsid w:val="00D245A5"/>
    <w:rsid w:val="00D24AAD"/>
    <w:rsid w:val="00D27635"/>
    <w:rsid w:val="00D276E9"/>
    <w:rsid w:val="00D27C78"/>
    <w:rsid w:val="00D32703"/>
    <w:rsid w:val="00D32911"/>
    <w:rsid w:val="00D32F35"/>
    <w:rsid w:val="00D3418F"/>
    <w:rsid w:val="00D3425C"/>
    <w:rsid w:val="00D3488A"/>
    <w:rsid w:val="00D3491C"/>
    <w:rsid w:val="00D357B7"/>
    <w:rsid w:val="00D373D2"/>
    <w:rsid w:val="00D3799E"/>
    <w:rsid w:val="00D37B5C"/>
    <w:rsid w:val="00D40641"/>
    <w:rsid w:val="00D41C91"/>
    <w:rsid w:val="00D445E8"/>
    <w:rsid w:val="00D455DF"/>
    <w:rsid w:val="00D45D07"/>
    <w:rsid w:val="00D4682C"/>
    <w:rsid w:val="00D47C8F"/>
    <w:rsid w:val="00D509C9"/>
    <w:rsid w:val="00D50CCF"/>
    <w:rsid w:val="00D5233B"/>
    <w:rsid w:val="00D531BD"/>
    <w:rsid w:val="00D5376C"/>
    <w:rsid w:val="00D538CE"/>
    <w:rsid w:val="00D56B38"/>
    <w:rsid w:val="00D56CAE"/>
    <w:rsid w:val="00D57179"/>
    <w:rsid w:val="00D60D76"/>
    <w:rsid w:val="00D61637"/>
    <w:rsid w:val="00D61FBF"/>
    <w:rsid w:val="00D6279A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59E"/>
    <w:rsid w:val="00D72D96"/>
    <w:rsid w:val="00D730BC"/>
    <w:rsid w:val="00D731FD"/>
    <w:rsid w:val="00D738C8"/>
    <w:rsid w:val="00D74FAD"/>
    <w:rsid w:val="00D76128"/>
    <w:rsid w:val="00D76331"/>
    <w:rsid w:val="00D77405"/>
    <w:rsid w:val="00D808A5"/>
    <w:rsid w:val="00D80A28"/>
    <w:rsid w:val="00D81A88"/>
    <w:rsid w:val="00D8298E"/>
    <w:rsid w:val="00D861A3"/>
    <w:rsid w:val="00D86552"/>
    <w:rsid w:val="00D9242B"/>
    <w:rsid w:val="00D92480"/>
    <w:rsid w:val="00D93644"/>
    <w:rsid w:val="00D94364"/>
    <w:rsid w:val="00D95CA9"/>
    <w:rsid w:val="00D96019"/>
    <w:rsid w:val="00D97768"/>
    <w:rsid w:val="00D97F8C"/>
    <w:rsid w:val="00DA0F71"/>
    <w:rsid w:val="00DA195F"/>
    <w:rsid w:val="00DA336E"/>
    <w:rsid w:val="00DA36EC"/>
    <w:rsid w:val="00DA40F1"/>
    <w:rsid w:val="00DA42E8"/>
    <w:rsid w:val="00DA47A2"/>
    <w:rsid w:val="00DA4AE4"/>
    <w:rsid w:val="00DA76BF"/>
    <w:rsid w:val="00DA7C51"/>
    <w:rsid w:val="00DA7E22"/>
    <w:rsid w:val="00DB0A56"/>
    <w:rsid w:val="00DB0A62"/>
    <w:rsid w:val="00DB18A6"/>
    <w:rsid w:val="00DB4CA8"/>
    <w:rsid w:val="00DB4D7B"/>
    <w:rsid w:val="00DB5899"/>
    <w:rsid w:val="00DB78C6"/>
    <w:rsid w:val="00DB7D1B"/>
    <w:rsid w:val="00DC148B"/>
    <w:rsid w:val="00DC165D"/>
    <w:rsid w:val="00DC31A3"/>
    <w:rsid w:val="00DC545B"/>
    <w:rsid w:val="00DC549A"/>
    <w:rsid w:val="00DC6DD4"/>
    <w:rsid w:val="00DD0389"/>
    <w:rsid w:val="00DD0DE0"/>
    <w:rsid w:val="00DD1092"/>
    <w:rsid w:val="00DD24D3"/>
    <w:rsid w:val="00DD480B"/>
    <w:rsid w:val="00DD4BFE"/>
    <w:rsid w:val="00DD617D"/>
    <w:rsid w:val="00DD6C64"/>
    <w:rsid w:val="00DE1404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6539"/>
    <w:rsid w:val="00E03A08"/>
    <w:rsid w:val="00E05AD9"/>
    <w:rsid w:val="00E05FBF"/>
    <w:rsid w:val="00E0646E"/>
    <w:rsid w:val="00E10567"/>
    <w:rsid w:val="00E1060A"/>
    <w:rsid w:val="00E10819"/>
    <w:rsid w:val="00E12617"/>
    <w:rsid w:val="00E14913"/>
    <w:rsid w:val="00E16B2F"/>
    <w:rsid w:val="00E176CD"/>
    <w:rsid w:val="00E20D76"/>
    <w:rsid w:val="00E2229A"/>
    <w:rsid w:val="00E23704"/>
    <w:rsid w:val="00E24157"/>
    <w:rsid w:val="00E24183"/>
    <w:rsid w:val="00E2425E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F6F"/>
    <w:rsid w:val="00E40C14"/>
    <w:rsid w:val="00E4107C"/>
    <w:rsid w:val="00E42270"/>
    <w:rsid w:val="00E43041"/>
    <w:rsid w:val="00E44ABA"/>
    <w:rsid w:val="00E44E09"/>
    <w:rsid w:val="00E45202"/>
    <w:rsid w:val="00E46FC4"/>
    <w:rsid w:val="00E50A47"/>
    <w:rsid w:val="00E516A4"/>
    <w:rsid w:val="00E51E52"/>
    <w:rsid w:val="00E5490D"/>
    <w:rsid w:val="00E54F87"/>
    <w:rsid w:val="00E55B30"/>
    <w:rsid w:val="00E62004"/>
    <w:rsid w:val="00E620F0"/>
    <w:rsid w:val="00E63FE4"/>
    <w:rsid w:val="00E64EEE"/>
    <w:rsid w:val="00E710F2"/>
    <w:rsid w:val="00E721F7"/>
    <w:rsid w:val="00E725D6"/>
    <w:rsid w:val="00E727FB"/>
    <w:rsid w:val="00E72D03"/>
    <w:rsid w:val="00E72F88"/>
    <w:rsid w:val="00E734A7"/>
    <w:rsid w:val="00E738D8"/>
    <w:rsid w:val="00E74016"/>
    <w:rsid w:val="00E758EA"/>
    <w:rsid w:val="00E766A7"/>
    <w:rsid w:val="00E768A9"/>
    <w:rsid w:val="00E769AD"/>
    <w:rsid w:val="00E7762E"/>
    <w:rsid w:val="00E84143"/>
    <w:rsid w:val="00E90BD1"/>
    <w:rsid w:val="00E911BF"/>
    <w:rsid w:val="00E91958"/>
    <w:rsid w:val="00E94BFE"/>
    <w:rsid w:val="00E94D97"/>
    <w:rsid w:val="00E95C1C"/>
    <w:rsid w:val="00E96EFA"/>
    <w:rsid w:val="00EA0D38"/>
    <w:rsid w:val="00EA164F"/>
    <w:rsid w:val="00EA2BC3"/>
    <w:rsid w:val="00EA68DC"/>
    <w:rsid w:val="00EA6B05"/>
    <w:rsid w:val="00EA6C50"/>
    <w:rsid w:val="00EB0EE9"/>
    <w:rsid w:val="00EB113A"/>
    <w:rsid w:val="00EB171C"/>
    <w:rsid w:val="00EB3014"/>
    <w:rsid w:val="00EB3A6F"/>
    <w:rsid w:val="00EB5117"/>
    <w:rsid w:val="00EB5186"/>
    <w:rsid w:val="00EB560E"/>
    <w:rsid w:val="00EB6935"/>
    <w:rsid w:val="00EB6F9C"/>
    <w:rsid w:val="00EB789B"/>
    <w:rsid w:val="00EC069D"/>
    <w:rsid w:val="00EC279D"/>
    <w:rsid w:val="00EC3CC5"/>
    <w:rsid w:val="00EC5B40"/>
    <w:rsid w:val="00EC5C5E"/>
    <w:rsid w:val="00EC6A5F"/>
    <w:rsid w:val="00ED07EE"/>
    <w:rsid w:val="00ED3951"/>
    <w:rsid w:val="00ED56A0"/>
    <w:rsid w:val="00ED76FE"/>
    <w:rsid w:val="00EE23E4"/>
    <w:rsid w:val="00EE2605"/>
    <w:rsid w:val="00EE47D9"/>
    <w:rsid w:val="00EE5946"/>
    <w:rsid w:val="00EE6B43"/>
    <w:rsid w:val="00EF0427"/>
    <w:rsid w:val="00EF0635"/>
    <w:rsid w:val="00EF0B02"/>
    <w:rsid w:val="00EF1B00"/>
    <w:rsid w:val="00EF2245"/>
    <w:rsid w:val="00EF339A"/>
    <w:rsid w:val="00EF377F"/>
    <w:rsid w:val="00EF43AE"/>
    <w:rsid w:val="00EF48E9"/>
    <w:rsid w:val="00EF60A6"/>
    <w:rsid w:val="00EF6709"/>
    <w:rsid w:val="00EF7046"/>
    <w:rsid w:val="00EF79A1"/>
    <w:rsid w:val="00F004F4"/>
    <w:rsid w:val="00F05132"/>
    <w:rsid w:val="00F0678A"/>
    <w:rsid w:val="00F06BBA"/>
    <w:rsid w:val="00F06DBE"/>
    <w:rsid w:val="00F10EE8"/>
    <w:rsid w:val="00F122D6"/>
    <w:rsid w:val="00F14933"/>
    <w:rsid w:val="00F16D35"/>
    <w:rsid w:val="00F17441"/>
    <w:rsid w:val="00F17B6B"/>
    <w:rsid w:val="00F226CD"/>
    <w:rsid w:val="00F22968"/>
    <w:rsid w:val="00F2528A"/>
    <w:rsid w:val="00F301E8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095D"/>
    <w:rsid w:val="00F41D4B"/>
    <w:rsid w:val="00F43FC8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1EF0"/>
    <w:rsid w:val="00F7215A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07E"/>
    <w:rsid w:val="00F904DD"/>
    <w:rsid w:val="00F90E1D"/>
    <w:rsid w:val="00F93CE3"/>
    <w:rsid w:val="00F9408B"/>
    <w:rsid w:val="00F962B8"/>
    <w:rsid w:val="00F967E3"/>
    <w:rsid w:val="00FA0AE2"/>
    <w:rsid w:val="00FA10D3"/>
    <w:rsid w:val="00FA1BAA"/>
    <w:rsid w:val="00FA22B9"/>
    <w:rsid w:val="00FA395A"/>
    <w:rsid w:val="00FA7F3E"/>
    <w:rsid w:val="00FB07D9"/>
    <w:rsid w:val="00FB1535"/>
    <w:rsid w:val="00FB2AEA"/>
    <w:rsid w:val="00FB6BB1"/>
    <w:rsid w:val="00FB6DD3"/>
    <w:rsid w:val="00FC0E8D"/>
    <w:rsid w:val="00FC294C"/>
    <w:rsid w:val="00FC4A83"/>
    <w:rsid w:val="00FC4C51"/>
    <w:rsid w:val="00FC4DF0"/>
    <w:rsid w:val="00FC4FF5"/>
    <w:rsid w:val="00FC5529"/>
    <w:rsid w:val="00FC6208"/>
    <w:rsid w:val="00FD1E32"/>
    <w:rsid w:val="00FD555D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  <w:style w:type="paragraph" w:customStyle="1" w:styleId="xmsonormal">
    <w:name w:val="x_msonormal"/>
    <w:basedOn w:val="Normal"/>
    <w:rsid w:val="002E61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markti5lomszc">
    <w:name w:val="x_markti5lomszc"/>
    <w:basedOn w:val="Fontepargpadro"/>
    <w:rsid w:val="002E6147"/>
  </w:style>
  <w:style w:type="character" w:customStyle="1" w:styleId="markw0yausd53">
    <w:name w:val="markw0yausd53"/>
    <w:basedOn w:val="Fontepargpadro"/>
    <w:rsid w:val="00551BD7"/>
  </w:style>
  <w:style w:type="character" w:customStyle="1" w:styleId="mark87ziag5js">
    <w:name w:val="mark87ziag5js"/>
    <w:basedOn w:val="Fontepargpadro"/>
    <w:rsid w:val="0055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4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1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91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4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7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13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00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35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0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722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99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10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67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4819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5286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35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7088-92E2-45E1-8188-99C90924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5</Pages>
  <Words>1356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759</cp:revision>
  <cp:lastPrinted>2022-07-04T21:17:00Z</cp:lastPrinted>
  <dcterms:created xsi:type="dcterms:W3CDTF">2020-07-08T21:10:00Z</dcterms:created>
  <dcterms:modified xsi:type="dcterms:W3CDTF">2022-08-18T21:21:00Z</dcterms:modified>
</cp:coreProperties>
</file>