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375419" w:rsidP="002708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2708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AF02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2708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maio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2021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(terça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1F7DF9" w:rsidP="00A537B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6:04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17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Doutor Ferreira, 28 - Centro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380D06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CTEGR CAU/MS</w:t>
            </w:r>
          </w:p>
        </w:tc>
      </w:tr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 JANES VIANA VIEIRA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A2B56" w:rsidRDefault="00375419" w:rsidP="0037541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ADJUNTA CTEGR CAU/MS</w:t>
            </w:r>
          </w:p>
        </w:tc>
      </w:tr>
      <w:tr w:rsidR="00375419" w:rsidRPr="00683F7D" w:rsidTr="007E496F">
        <w:trPr>
          <w:trHeight w:val="15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7A64AC" w:rsidRDefault="00375419" w:rsidP="00375419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SECRETÁRIA GERAL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EA6E23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080DAE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PAOLA 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080DAE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JULIA LEIKA OHARA NAGATA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:rsidR="00A537BA" w:rsidRPr="00A537BA" w:rsidRDefault="00A537BA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2.1)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1ª Reunião CTEGR CAU/MS 06.04.2021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</w:p>
          <w:p w:rsidR="00A537BA" w:rsidRPr="00A537BA" w:rsidRDefault="00A537BA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</w:t>
            </w: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3.1)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E-mail: II Ciclo de Debates Mulheres na Arquitetura – agradecimentos e informações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:rsidR="00A537BA" w:rsidRPr="00A537BA" w:rsidRDefault="00A537BA" w:rsidP="00A537BA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</w:t>
            </w: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4.1) Orientações quanto ao II Ciclo de Debates Mulheres na Arquitetura – Cidades Inclusivas para Mulheres após reunião realizada dia 14/</w:t>
            </w:r>
            <w:r w:rsidR="00B430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04/2021 a convite do CAU BRASIL: </w:t>
            </w: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Programação atividades nos temas Equidade na formação de arquitetos e urbanistas, Equidade na política em arquitetura e urbanismo</w:t>
            </w:r>
          </w:p>
          <w:p w:rsid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7C5CBF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Assuntos Extra Pauta;</w:t>
            </w:r>
          </w:p>
          <w:p w:rsidR="00543A7F" w:rsidRDefault="00543A7F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5.1)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Material </w:t>
            </w:r>
            <w:proofErr w:type="spellStart"/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Pré</w:t>
            </w:r>
            <w:proofErr w:type="spellEnd"/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-diagnóstico</w:t>
            </w:r>
          </w:p>
          <w:p w:rsidR="001D32A9" w:rsidRPr="00543A7F" w:rsidRDefault="001D32A9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5.2) Auditoria SAMPAPÉ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Encerramento;</w:t>
            </w:r>
          </w:p>
          <w:p w:rsidR="000340FC" w:rsidRPr="00681162" w:rsidRDefault="00F25E85" w:rsidP="00CA5479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A537BA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  <w:r w:rsidR="00CA54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faz a verificação do quórum as 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04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7319C5" w:rsidRPr="00BD6FE2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319C5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B12738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4E75F7" w:rsidRPr="004E75F7" w:rsidTr="001F749C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C92A16" w:rsidRDefault="00A537BA" w:rsidP="00C92A16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1ª Reunião CTEGR CAU/MS 06.04.2021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F7DF9" w:rsidRPr="00C92A16" w:rsidRDefault="0040490C" w:rsidP="009C4A75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9C4A75"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Olinda Beatriz </w:t>
            </w:r>
            <w:r w:rsidR="00A537BA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as súmulas em epigrafe foram enviadas antecipadamente por e-mail aos membros e 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A537BA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92A16" w:rsidRDefault="00A537BA" w:rsidP="00083DE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083D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bookmarkStart w:id="0" w:name="_GoBack"/>
            <w:bookmarkEnd w:id="0"/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ETGR CAU/MS por toda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 conselheir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 presentes, sem ressalvas.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FA5504" w:rsidRDefault="00A537BA" w:rsidP="00C92A16">
            <w:pPr>
              <w:autoSpaceDE w:val="0"/>
              <w:autoSpaceDN w:val="0"/>
              <w:adjustRightInd w:val="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Orientações quanto ao II Ciclo de Debates Mulheres na Arquitetura – Cidades Inclusivas para Mulheres após reunião realizada dia 14/</w:t>
            </w:r>
            <w:r w:rsidR="00B430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04/2021 a convite do CAU BRASIL: </w:t>
            </w:r>
            <w:r w:rsidR="00B43082"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Programação atividades nos temas Equidade na formação de arquitetos e urbanistas, Equidade na política em arquitetura e urbanismo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62533" w:rsidRDefault="00441E79" w:rsidP="00B43082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430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coordenadora </w:t>
            </w:r>
            <w:r w:rsidR="00B430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abre para contribuições sobre a construção do evento que será realizado pela CTEGR CAU/MS, onde ficou definido que será realizado no mês de setembro de 2021.</w:t>
            </w:r>
          </w:p>
          <w:p w:rsidR="00534E2A" w:rsidRDefault="00534E2A" w:rsidP="00534E2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Após discussões, os membros definiram a estruturação do evento sendo este realizado da seguinte forma:</w:t>
            </w:r>
          </w:p>
          <w:p w:rsidR="00534E2A" w:rsidRPr="00270813" w:rsidRDefault="00534E2A" w:rsidP="00534E2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7081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Período da manhã</w:t>
            </w:r>
          </w:p>
          <w:p w:rsidR="00534E2A" w:rsidRDefault="00534E2A" w:rsidP="00534E2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Tema Educação, </w:t>
            </w:r>
            <w:r w:rsidRPr="001669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Palestrante Terezinha </w:t>
            </w:r>
            <w:r w:rsidR="001669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Gonzaga</w:t>
            </w:r>
            <w:r w:rsidRPr="00534E2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 SP, indicada pela Conselheira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Neila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Janes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Professores das Universidade do MS para debatedores;</w:t>
            </w:r>
          </w:p>
          <w:p w:rsidR="00534E2A" w:rsidRDefault="00534E2A" w:rsidP="00534E2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Apresentação de TCC relacionados ao tema;</w:t>
            </w:r>
          </w:p>
          <w:p w:rsidR="00534E2A" w:rsidRPr="00270813" w:rsidRDefault="00534E2A" w:rsidP="00534E2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7081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Período da tarde</w:t>
            </w:r>
          </w:p>
          <w:p w:rsidR="00534E2A" w:rsidRDefault="00534E2A" w:rsidP="00534E2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Tema Política, Palestrante </w:t>
            </w:r>
            <w:r w:rsidR="002708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Vereadora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Camila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Jara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indicada pela Suplente de Conselheiro Paola Giovanna e dois debatedores a definir;</w:t>
            </w:r>
          </w:p>
          <w:p w:rsidR="00534E2A" w:rsidRDefault="00534E2A" w:rsidP="00534E2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Apresentação de TCC relacionados ao tema</w:t>
            </w:r>
          </w:p>
          <w:p w:rsidR="00534E2A" w:rsidRPr="00B43082" w:rsidRDefault="00534E2A" w:rsidP="00270813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Suplente de Conselheiro Paola Giovanna, sugeriu que os TCC sejam </w:t>
            </w:r>
            <w:r w:rsidR="002708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expostos no Site do CAU/MS durante a semana do evento.</w:t>
            </w:r>
          </w:p>
        </w:tc>
      </w:tr>
      <w:tr w:rsidR="001C28BB" w:rsidRPr="001C28BB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80DAE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80DA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Default="00270813" w:rsidP="00270813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67013C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A </w:t>
            </w:r>
            <w:r w:rsidRPr="0067013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Suplente de Conselheiro Paola Giovanna ficou responsável pelo agendamento de uma reunião com a Vereadora Camila </w:t>
            </w:r>
            <w:proofErr w:type="spellStart"/>
            <w:r w:rsidRPr="0067013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Jara</w:t>
            </w:r>
            <w:proofErr w:type="spellEnd"/>
            <w:r w:rsidRPr="0067013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, para apresentar propostas de trabalho em parceria com a CTEGR CAU/MS</w:t>
            </w:r>
          </w:p>
          <w:p w:rsidR="00AC6FE2" w:rsidRPr="0067013C" w:rsidRDefault="00AC6FE2" w:rsidP="00AC6FE2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A Coordenadora Olinda Beatriz será a responsável pelo preenchimento do Formulário de inscrição para a participação no II </w:t>
            </w:r>
            <w:r w:rsidRPr="00AC6FE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Ciclo de Debates Mulheres na Arquitetura – Cidades Inclusivas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enviado pelo CAU/BR</w:t>
            </w:r>
          </w:p>
        </w:tc>
      </w:tr>
      <w:tr w:rsidR="001C28BB" w:rsidRPr="001C28BB" w:rsidTr="001F749C">
        <w:trPr>
          <w:trHeight w:val="36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9C4A75" w:rsidRPr="001C28BB" w:rsidTr="001F749C">
        <w:trPr>
          <w:trHeight w:val="159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FFFFF" w:themeFill="background1"/>
            <w:vAlign w:val="center"/>
          </w:tcPr>
          <w:p w:rsidR="009C4A75" w:rsidRPr="00096AC2" w:rsidRDefault="00A537BA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EXTRA PAUTA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9C4A75" w:rsidRPr="00096AC2" w:rsidRDefault="00A537BA" w:rsidP="0082444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Material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Pré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-diagnóstico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C4A75" w:rsidRDefault="001D32A9" w:rsidP="001D32A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passa a palavra para a Suplente de Conselheiro Debora Rondo que explana sobre a importância de ser apresentado os temas relativos a Equidade de Gênero ao Conselheiros do CAU/MS em Plenária para que todos tenham conhecimento sobre o assunto e trabalhe em favor das atividades prevista pela CTEGR CAU/MS</w:t>
            </w:r>
            <w:r w:rsidR="0067013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ajudando na divulgação.</w:t>
            </w:r>
          </w:p>
          <w:p w:rsidR="0067013C" w:rsidRDefault="0067013C" w:rsidP="001D32A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mesma sugeriu a confecção de material publicitários com os principais temas abordados e dados já copilados pelo CAU/BR e também por outros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CAU´s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afim de orientar a sociedade e os profissionais sobre a importância do tema. A Suplente de Conselheiro Paola Giovanna se ofereceu para ajudar na construção do material publicitário.</w:t>
            </w:r>
          </w:p>
          <w:p w:rsidR="0067013C" w:rsidRPr="00A537BA" w:rsidRDefault="0067013C" w:rsidP="001D32A9">
            <w:pPr>
              <w:jc w:val="both"/>
              <w:rPr>
                <w:rFonts w:ascii="Arial" w:eastAsia="Times New Roman" w:hAnsi="Arial" w:cs="Arial"/>
                <w:strike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Conselheira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CTEGR tem orçamento aprovado para trabalhar este ano e que são de origem da CEF/MS, mas informa que todas as solicitações de orçamento para realização de ações, devem ser aprovadas pelo Presidente do CAU/MS.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C4A75" w:rsidRPr="0067013C" w:rsidRDefault="001D32A9" w:rsidP="00364136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7013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 Coordenadora solicitou que seja verificado junto ao CAU/BR se haverá um novo Diagnóstico sobre Equidade a ser aplicado.</w:t>
            </w:r>
          </w:p>
          <w:p w:rsidR="001D32A9" w:rsidRPr="00096AC2" w:rsidRDefault="001D32A9" w:rsidP="0036413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013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 Suplente de Conselheiro Debora Rondon apresentará na próxima reunião quadros ilustrativos sobre as informações relacionadas ao tema Equidade e uma minuta de apresentação sobre os trabalhos </w:t>
            </w:r>
            <w:r w:rsidRPr="0067013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lastRenderedPageBreak/>
              <w:t>relacionados a Equidade de Gênero para a próxima reunião dia 08.06.2021 para aprovação.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Default="001D32A9" w:rsidP="009C4A75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D32A9" w:rsidRPr="001C28BB" w:rsidTr="005115EE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EXTRA PAUTA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D32A9" w:rsidRPr="00096AC2" w:rsidRDefault="001D32A9" w:rsidP="001D32A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Auditoria SAMPAPÉ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FB4972" w:rsidRDefault="00FB4972" w:rsidP="00B1169E">
            <w:pPr>
              <w:jc w:val="both"/>
              <w:rPr>
                <w:rFonts w:ascii="Arial" w:eastAsia="Times New Roman" w:hAnsi="Arial" w:cs="Arial"/>
                <w:strike/>
                <w:spacing w:val="4"/>
                <w:sz w:val="20"/>
                <w:szCs w:val="20"/>
              </w:rPr>
            </w:pPr>
            <w:r w:rsidRPr="00FB49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Suplente de Conselheiro Debora Rondon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apresentou um Mapa do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Feminicídio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01.06.2019, onde constatou que 77% das mortes ocorreram dentro de casa, onde não existe um padrão de agressor, mais existe uma predominância na profissão dele que é trabalhadores da construção civil, onde 93% das mulheres não procuraram ajuda</w:t>
            </w:r>
            <w:r w:rsidR="00B116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que a maioria das vítimas tem entre 41 e 50 anos. Com base nesses dados a </w:t>
            </w:r>
            <w:r w:rsidR="00B1169E" w:rsidRPr="00FB49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Conselheiro Debora Rondon</w:t>
            </w:r>
            <w:r w:rsidR="00B1169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sugeriu a realização de campanhas de conscientização aos profissionais da construção civil e atuar com Urbanismo Tático, em parceria com a Secretaria da Mulher para realização de palestras e confecções de adesivos para ser divulgados em obras.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B1169E" w:rsidRDefault="00B1169E" w:rsidP="001D32A9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1169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 Suplente de Conselheiro Debora Rondon ira encaminhar a todos os membros da CETGR o link do site “Não se Cale”, da subsecretaria da mulher.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Default="001D32A9" w:rsidP="001D32A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 encerramento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Default="001D32A9" w:rsidP="00B1169E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nadora do CTEGR, Arquiteta Olinda Beatriz</w:t>
            </w: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as 1</w:t>
            </w:r>
            <w:r w:rsidR="00B1169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7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:</w:t>
            </w:r>
            <w:r w:rsidR="00B1169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:rsidR="00804815" w:rsidRPr="001C28BB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804815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6A7C22" w:rsidRPr="001C28BB" w:rsidRDefault="006A7C22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D07441" w:rsidRDefault="00D07441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556D47" w:rsidRDefault="008F3C51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0536A4">
        <w:rPr>
          <w:rFonts w:ascii="Arial" w:hAnsi="Arial" w:cs="Arial"/>
          <w:sz w:val="20"/>
          <w:szCs w:val="20"/>
        </w:rPr>
        <w:t>0</w:t>
      </w:r>
      <w:r w:rsidR="00B1169E">
        <w:rPr>
          <w:rFonts w:ascii="Arial" w:hAnsi="Arial" w:cs="Arial"/>
          <w:sz w:val="20"/>
          <w:szCs w:val="20"/>
        </w:rPr>
        <w:t>8</w:t>
      </w:r>
      <w:r w:rsidR="00964764">
        <w:rPr>
          <w:rFonts w:ascii="Arial" w:hAnsi="Arial" w:cs="Arial"/>
          <w:sz w:val="20"/>
          <w:szCs w:val="20"/>
        </w:rPr>
        <w:t xml:space="preserve"> de </w:t>
      </w:r>
      <w:r w:rsidR="00B1169E">
        <w:rPr>
          <w:rFonts w:ascii="Arial" w:hAnsi="Arial" w:cs="Arial"/>
          <w:sz w:val="20"/>
          <w:szCs w:val="20"/>
        </w:rPr>
        <w:t xml:space="preserve">junho </w:t>
      </w:r>
      <w:r w:rsidR="0059031C">
        <w:rPr>
          <w:rFonts w:ascii="Arial" w:hAnsi="Arial" w:cs="Arial"/>
          <w:sz w:val="20"/>
          <w:szCs w:val="20"/>
        </w:rPr>
        <w:t>de 202</w:t>
      </w:r>
      <w:r w:rsidR="000536A4">
        <w:rPr>
          <w:rFonts w:ascii="Arial" w:hAnsi="Arial" w:cs="Arial"/>
          <w:sz w:val="20"/>
          <w:szCs w:val="20"/>
        </w:rPr>
        <w:t>1</w:t>
      </w:r>
      <w:r w:rsidR="00556D47">
        <w:rPr>
          <w:rFonts w:ascii="Arial" w:hAnsi="Arial" w:cs="Arial"/>
          <w:sz w:val="20"/>
          <w:szCs w:val="20"/>
        </w:rPr>
        <w:t>.</w:t>
      </w: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53292001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53292001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__________________________________________</w:t>
      </w:r>
    </w:p>
    <w:p w:rsidR="008F3C51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8F3C51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B1169E" w:rsidRDefault="00B1169E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B1169E" w:rsidRDefault="00B1169E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399"/>
        <w:gridCol w:w="572"/>
        <w:gridCol w:w="851"/>
        <w:gridCol w:w="1129"/>
        <w:gridCol w:w="992"/>
      </w:tblGrid>
      <w:tr w:rsidR="00556D47" w:rsidRPr="00B72C10" w:rsidTr="00E47E8C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E47E8C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E47E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F0651F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03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59031C" w:rsidP="00055B4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74C0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F0651F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593D3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59031C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F0651F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Araujo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F0651F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F00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C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Leika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Ohara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Nagata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582169" w:rsidRDefault="002F001C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Default="00F0651F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2F001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B1169E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E47E8C">
              <w:rPr>
                <w:rFonts w:ascii="Times New Roman" w:eastAsia="Calibri" w:hAnsi="Times New Roman"/>
                <w:b/>
                <w:sz w:val="22"/>
                <w:szCs w:val="22"/>
              </w:rPr>
              <w:t>R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B1169E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="0096476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B1169E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2F00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1169E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Aprovação da Súmula da 2</w:t>
            </w:r>
            <w:r w:rsidR="00574C0A"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574C0A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Temporária da CTEG</w:t>
            </w:r>
            <w:r w:rsidR="00E47E8C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R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F0651F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F0651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F0651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F0651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F0651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2F001C" w:rsidRDefault="00055B48" w:rsidP="002F001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74C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Aprovado por unanimidade dos votos.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8585"/>
      <w:docPartObj>
        <w:docPartGallery w:val="Page Numbers (Bottom of Page)"/>
        <w:docPartUnique/>
      </w:docPartObj>
    </w:sdtPr>
    <w:sdtEndPr/>
    <w:sdtContent>
      <w:p w:rsidR="001B2B40" w:rsidRDefault="001B2B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EE">
          <w:rPr>
            <w:noProof/>
          </w:rPr>
          <w:t>4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2F" w:rsidRPr="00996E84" w:rsidRDefault="0027410E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A537BA">
      <w:rPr>
        <w:rFonts w:ascii="Arial" w:eastAsia="Times New Roman" w:hAnsi="Arial" w:cs="Arial"/>
        <w:b/>
        <w:bCs/>
        <w:smallCaps/>
        <w:kern w:val="32"/>
        <w:sz w:val="18"/>
        <w:szCs w:val="18"/>
      </w:rPr>
      <w:t>2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>R</w:t>
    </w:r>
  </w:p>
  <w:p w:rsidR="00080DAE" w:rsidRPr="00375419" w:rsidRDefault="00586E2B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375419"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 </w:t>
    </w:r>
  </w:p>
  <w:p w:rsidR="000C0FCD" w:rsidRPr="000C0FCD" w:rsidRDefault="000C0FCD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16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4"/>
  </w:num>
  <w:num w:numId="12">
    <w:abstractNumId w:val="3"/>
  </w:num>
  <w:num w:numId="13">
    <w:abstractNumId w:val="17"/>
  </w:num>
  <w:num w:numId="14">
    <w:abstractNumId w:val="13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E8B"/>
    <w:rsid w:val="0007691D"/>
    <w:rsid w:val="00080DAE"/>
    <w:rsid w:val="00083708"/>
    <w:rsid w:val="00083DEE"/>
    <w:rsid w:val="00084B1D"/>
    <w:rsid w:val="00087CD7"/>
    <w:rsid w:val="000911CF"/>
    <w:rsid w:val="00093706"/>
    <w:rsid w:val="00094F5F"/>
    <w:rsid w:val="000966BA"/>
    <w:rsid w:val="00096AC2"/>
    <w:rsid w:val="0009703F"/>
    <w:rsid w:val="000A14EE"/>
    <w:rsid w:val="000A5C2D"/>
    <w:rsid w:val="000B07FE"/>
    <w:rsid w:val="000C0FCD"/>
    <w:rsid w:val="000C1241"/>
    <w:rsid w:val="000C5CC0"/>
    <w:rsid w:val="000E1CA6"/>
    <w:rsid w:val="000E5181"/>
    <w:rsid w:val="000E5880"/>
    <w:rsid w:val="000E70A3"/>
    <w:rsid w:val="000E746A"/>
    <w:rsid w:val="000F1956"/>
    <w:rsid w:val="000F20CC"/>
    <w:rsid w:val="000F20D0"/>
    <w:rsid w:val="000F3983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50C0"/>
    <w:rsid w:val="001667FD"/>
    <w:rsid w:val="00166910"/>
    <w:rsid w:val="00171AA1"/>
    <w:rsid w:val="00175780"/>
    <w:rsid w:val="00187E42"/>
    <w:rsid w:val="001921F5"/>
    <w:rsid w:val="0019273D"/>
    <w:rsid w:val="001A224D"/>
    <w:rsid w:val="001A2B56"/>
    <w:rsid w:val="001A2F87"/>
    <w:rsid w:val="001A5831"/>
    <w:rsid w:val="001B2B40"/>
    <w:rsid w:val="001B5241"/>
    <w:rsid w:val="001C0ECA"/>
    <w:rsid w:val="001C162B"/>
    <w:rsid w:val="001C181F"/>
    <w:rsid w:val="001C222B"/>
    <w:rsid w:val="001C22E0"/>
    <w:rsid w:val="001C28BB"/>
    <w:rsid w:val="001C435C"/>
    <w:rsid w:val="001D0D4F"/>
    <w:rsid w:val="001D32A9"/>
    <w:rsid w:val="001D4DDD"/>
    <w:rsid w:val="001D6D0A"/>
    <w:rsid w:val="001E13FC"/>
    <w:rsid w:val="001E479D"/>
    <w:rsid w:val="001E50C2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97ADC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0F16"/>
    <w:rsid w:val="002D6FD8"/>
    <w:rsid w:val="002D731A"/>
    <w:rsid w:val="002E0D8D"/>
    <w:rsid w:val="002E5E28"/>
    <w:rsid w:val="002E605F"/>
    <w:rsid w:val="002F001C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4136"/>
    <w:rsid w:val="00364294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2A8"/>
    <w:rsid w:val="004E2A44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0832"/>
    <w:rsid w:val="0052455E"/>
    <w:rsid w:val="00525D90"/>
    <w:rsid w:val="00534E2A"/>
    <w:rsid w:val="005355FD"/>
    <w:rsid w:val="00535CBF"/>
    <w:rsid w:val="00536E02"/>
    <w:rsid w:val="00537606"/>
    <w:rsid w:val="00537E24"/>
    <w:rsid w:val="00541BA2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E1CD9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37A7C"/>
    <w:rsid w:val="00641F61"/>
    <w:rsid w:val="00653FC8"/>
    <w:rsid w:val="00661559"/>
    <w:rsid w:val="0066692C"/>
    <w:rsid w:val="0067013C"/>
    <w:rsid w:val="00670507"/>
    <w:rsid w:val="00670BE8"/>
    <w:rsid w:val="00672464"/>
    <w:rsid w:val="006743C7"/>
    <w:rsid w:val="00680BA8"/>
    <w:rsid w:val="00681162"/>
    <w:rsid w:val="00683F7D"/>
    <w:rsid w:val="00684AC8"/>
    <w:rsid w:val="00685AA3"/>
    <w:rsid w:val="00687162"/>
    <w:rsid w:val="006923C4"/>
    <w:rsid w:val="00693C33"/>
    <w:rsid w:val="0069419A"/>
    <w:rsid w:val="00694B14"/>
    <w:rsid w:val="00695C5A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2934"/>
    <w:rsid w:val="006E6159"/>
    <w:rsid w:val="006E6F67"/>
    <w:rsid w:val="006F0D0A"/>
    <w:rsid w:val="006F1AE5"/>
    <w:rsid w:val="006F1BF7"/>
    <w:rsid w:val="006F285B"/>
    <w:rsid w:val="006F4C3A"/>
    <w:rsid w:val="006F6D48"/>
    <w:rsid w:val="006F7561"/>
    <w:rsid w:val="007031E7"/>
    <w:rsid w:val="007075EA"/>
    <w:rsid w:val="007112DD"/>
    <w:rsid w:val="00713AC5"/>
    <w:rsid w:val="0072004D"/>
    <w:rsid w:val="0072274E"/>
    <w:rsid w:val="007242A0"/>
    <w:rsid w:val="0072548C"/>
    <w:rsid w:val="00727683"/>
    <w:rsid w:val="007276F4"/>
    <w:rsid w:val="00730B8E"/>
    <w:rsid w:val="007319C5"/>
    <w:rsid w:val="00732B52"/>
    <w:rsid w:val="00733CD6"/>
    <w:rsid w:val="00735CE2"/>
    <w:rsid w:val="0073657D"/>
    <w:rsid w:val="00740C35"/>
    <w:rsid w:val="00741FAF"/>
    <w:rsid w:val="00745524"/>
    <w:rsid w:val="007468C7"/>
    <w:rsid w:val="007477EC"/>
    <w:rsid w:val="00750826"/>
    <w:rsid w:val="00751A4E"/>
    <w:rsid w:val="007537D5"/>
    <w:rsid w:val="00763E71"/>
    <w:rsid w:val="007641C4"/>
    <w:rsid w:val="00764E91"/>
    <w:rsid w:val="00766B30"/>
    <w:rsid w:val="0077292F"/>
    <w:rsid w:val="007744F5"/>
    <w:rsid w:val="00774922"/>
    <w:rsid w:val="00774AC8"/>
    <w:rsid w:val="00781965"/>
    <w:rsid w:val="00790F8E"/>
    <w:rsid w:val="00797642"/>
    <w:rsid w:val="007A2EE3"/>
    <w:rsid w:val="007A58F1"/>
    <w:rsid w:val="007A64AC"/>
    <w:rsid w:val="007B6060"/>
    <w:rsid w:val="007B75E1"/>
    <w:rsid w:val="007C00A9"/>
    <w:rsid w:val="007C3D20"/>
    <w:rsid w:val="007C5CBF"/>
    <w:rsid w:val="007D0C20"/>
    <w:rsid w:val="007D1EE0"/>
    <w:rsid w:val="007D2C04"/>
    <w:rsid w:val="007D2E53"/>
    <w:rsid w:val="007D45CF"/>
    <w:rsid w:val="007D470B"/>
    <w:rsid w:val="007D52A0"/>
    <w:rsid w:val="007D5333"/>
    <w:rsid w:val="007E42B7"/>
    <w:rsid w:val="007E496F"/>
    <w:rsid w:val="007E4D4D"/>
    <w:rsid w:val="007E6CC9"/>
    <w:rsid w:val="007F3C0D"/>
    <w:rsid w:val="007F4293"/>
    <w:rsid w:val="0080090E"/>
    <w:rsid w:val="008010E6"/>
    <w:rsid w:val="008025A2"/>
    <w:rsid w:val="008046E1"/>
    <w:rsid w:val="00804815"/>
    <w:rsid w:val="00807EB0"/>
    <w:rsid w:val="0082392D"/>
    <w:rsid w:val="00824447"/>
    <w:rsid w:val="0083068E"/>
    <w:rsid w:val="008353CD"/>
    <w:rsid w:val="008372FC"/>
    <w:rsid w:val="00840370"/>
    <w:rsid w:val="00840FD9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497B"/>
    <w:rsid w:val="008D6B46"/>
    <w:rsid w:val="008E7167"/>
    <w:rsid w:val="008E7A61"/>
    <w:rsid w:val="008F3C51"/>
    <w:rsid w:val="008F58BD"/>
    <w:rsid w:val="008F5D88"/>
    <w:rsid w:val="008F6814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30059"/>
    <w:rsid w:val="00930143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2533"/>
    <w:rsid w:val="00964764"/>
    <w:rsid w:val="009665F7"/>
    <w:rsid w:val="00967837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40C2"/>
    <w:rsid w:val="009D645D"/>
    <w:rsid w:val="009E02F1"/>
    <w:rsid w:val="009E3138"/>
    <w:rsid w:val="009E360A"/>
    <w:rsid w:val="009E6DD8"/>
    <w:rsid w:val="009E701C"/>
    <w:rsid w:val="009E7668"/>
    <w:rsid w:val="009E7EEB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37BA"/>
    <w:rsid w:val="00A55B71"/>
    <w:rsid w:val="00A74B1F"/>
    <w:rsid w:val="00A812EA"/>
    <w:rsid w:val="00A83BB4"/>
    <w:rsid w:val="00A8527F"/>
    <w:rsid w:val="00A92921"/>
    <w:rsid w:val="00A94FB4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7F1A"/>
    <w:rsid w:val="00B11540"/>
    <w:rsid w:val="00B1169E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32A16"/>
    <w:rsid w:val="00B355B8"/>
    <w:rsid w:val="00B37B24"/>
    <w:rsid w:val="00B40AB7"/>
    <w:rsid w:val="00B41547"/>
    <w:rsid w:val="00B43082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F6C89"/>
    <w:rsid w:val="00C006C9"/>
    <w:rsid w:val="00C04DF1"/>
    <w:rsid w:val="00C069C4"/>
    <w:rsid w:val="00C102A2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2A16"/>
    <w:rsid w:val="00C93CC3"/>
    <w:rsid w:val="00C9405F"/>
    <w:rsid w:val="00C944D5"/>
    <w:rsid w:val="00C94B9B"/>
    <w:rsid w:val="00C9503E"/>
    <w:rsid w:val="00C957F5"/>
    <w:rsid w:val="00CA1FDC"/>
    <w:rsid w:val="00CA21A5"/>
    <w:rsid w:val="00CA2862"/>
    <w:rsid w:val="00CA29AA"/>
    <w:rsid w:val="00CA5479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22A0D"/>
    <w:rsid w:val="00D23ABE"/>
    <w:rsid w:val="00D23E85"/>
    <w:rsid w:val="00D245A5"/>
    <w:rsid w:val="00D2469C"/>
    <w:rsid w:val="00D26D37"/>
    <w:rsid w:val="00D31E4D"/>
    <w:rsid w:val="00D373BE"/>
    <w:rsid w:val="00D40F11"/>
    <w:rsid w:val="00D43D1F"/>
    <w:rsid w:val="00D4413F"/>
    <w:rsid w:val="00D444D9"/>
    <w:rsid w:val="00D45D07"/>
    <w:rsid w:val="00D4615A"/>
    <w:rsid w:val="00D47086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3A8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DF5833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44E2"/>
    <w:rsid w:val="00EB4EB2"/>
    <w:rsid w:val="00EB6935"/>
    <w:rsid w:val="00EB79E5"/>
    <w:rsid w:val="00EC3254"/>
    <w:rsid w:val="00EC5D56"/>
    <w:rsid w:val="00ED2BE5"/>
    <w:rsid w:val="00EE0E1D"/>
    <w:rsid w:val="00EF1B00"/>
    <w:rsid w:val="00EF4483"/>
    <w:rsid w:val="00F03FD9"/>
    <w:rsid w:val="00F062DA"/>
    <w:rsid w:val="00F0651F"/>
    <w:rsid w:val="00F11374"/>
    <w:rsid w:val="00F12C9A"/>
    <w:rsid w:val="00F1388A"/>
    <w:rsid w:val="00F2049E"/>
    <w:rsid w:val="00F22795"/>
    <w:rsid w:val="00F24179"/>
    <w:rsid w:val="00F25E85"/>
    <w:rsid w:val="00F332CD"/>
    <w:rsid w:val="00F33BF7"/>
    <w:rsid w:val="00F36E73"/>
    <w:rsid w:val="00F4569D"/>
    <w:rsid w:val="00F46ED7"/>
    <w:rsid w:val="00F46FAD"/>
    <w:rsid w:val="00F509B2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72ADC"/>
    <w:rsid w:val="00F72D18"/>
    <w:rsid w:val="00F73C78"/>
    <w:rsid w:val="00F74199"/>
    <w:rsid w:val="00F75C43"/>
    <w:rsid w:val="00F75EFA"/>
    <w:rsid w:val="00F75F75"/>
    <w:rsid w:val="00F77A78"/>
    <w:rsid w:val="00F80051"/>
    <w:rsid w:val="00F93A26"/>
    <w:rsid w:val="00F94AAE"/>
    <w:rsid w:val="00F95208"/>
    <w:rsid w:val="00FA0CAF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1560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DEC4-2F5B-4404-B2FD-E068BF92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1111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eventos</cp:lastModifiedBy>
  <cp:revision>6</cp:revision>
  <cp:lastPrinted>2020-11-25T20:29:00Z</cp:lastPrinted>
  <dcterms:created xsi:type="dcterms:W3CDTF">2021-05-31T18:04:00Z</dcterms:created>
  <dcterms:modified xsi:type="dcterms:W3CDTF">2021-12-16T16:49:00Z</dcterms:modified>
</cp:coreProperties>
</file>