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594984">
            <w:pPr>
              <w:pStyle w:val="Ttulo1"/>
            </w:pPr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7709D5" w:rsidP="00D85945">
            <w:r>
              <w:t>0985930/2019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7709D5" w:rsidP="000B31E4">
            <w:r>
              <w:t>ANGELA ESTER ALV</w:t>
            </w:r>
            <w:r w:rsidR="000B31E4">
              <w:t>A</w:t>
            </w:r>
            <w:bookmarkStart w:id="0" w:name="_GoBack"/>
            <w:bookmarkEnd w:id="0"/>
            <w:r>
              <w:t>RES DO VALE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24033" w:rsidP="007709D5">
            <w:r>
              <w:t>RE</w:t>
            </w:r>
            <w:r w:rsidR="007709D5">
              <w:t>LATÓRIO</w:t>
            </w:r>
            <w:r>
              <w:t xml:space="preserve"> DE CERTIDÃO DE ACERVO TÉCNICO COM ATESTADO (CAT – A)</w:t>
            </w:r>
            <w:r w:rsidR="00551A37">
              <w:t xml:space="preserve"> 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7709D5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 xml:space="preserve">Nº </w:t>
            </w:r>
            <w:r w:rsidR="007709D5">
              <w:rPr>
                <w:b/>
                <w:bCs/>
                <w:color w:val="000000" w:themeColor="text1"/>
              </w:rPr>
              <w:t>535</w:t>
            </w:r>
            <w:r w:rsidR="00C97885" w:rsidRPr="00D3323C">
              <w:rPr>
                <w:b/>
                <w:bCs/>
              </w:rPr>
              <w:t>/2018-2020</w:t>
            </w:r>
            <w:r w:rsidR="00D73072">
              <w:rPr>
                <w:b/>
                <w:bCs/>
              </w:rPr>
              <w:t xml:space="preserve"> – </w:t>
            </w:r>
            <w:r w:rsidR="007709D5">
              <w:rPr>
                <w:b/>
                <w:bCs/>
              </w:rPr>
              <w:t>84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7709D5" w:rsidRPr="005F1E4B" w:rsidRDefault="007709D5" w:rsidP="007709D5">
      <w:pPr>
        <w:spacing w:before="120" w:after="120" w:line="240" w:lineRule="auto"/>
        <w:jc w:val="both"/>
        <w:rPr>
          <w:color w:val="000000" w:themeColor="text1"/>
        </w:rPr>
      </w:pPr>
      <w:r w:rsidRPr="005F1E4B">
        <w:t xml:space="preserve">A COMISSÃO DE EXERCÍCIO PROFISSIONAL – CEP, </w:t>
      </w:r>
      <w:r w:rsidRPr="005F1E4B">
        <w:rPr>
          <w:color w:val="000000" w:themeColor="text1"/>
        </w:rPr>
        <w:t>reunido ordinariamente por meio de videoconferência através da plataforma MEET, no dia 19 de agosto de 2020</w:t>
      </w:r>
      <w:r w:rsidRPr="005F1E4B">
        <w:t xml:space="preserve">, no uso das atribuições que lhe confere o artigo 50, do Regimento Interno do CAU/MS, aprovado </w:t>
      </w:r>
      <w:r w:rsidRPr="005F1E4B">
        <w:rPr>
          <w:color w:val="000000" w:themeColor="text1"/>
        </w:rPr>
        <w:t>pela Deliberação Plenária n. 107 DPOMS Nº 047-03/2015, de 08 de outubro de 2015, após análise do assunto em epígrafe, e</w:t>
      </w:r>
    </w:p>
    <w:p w:rsidR="00E968DF" w:rsidRDefault="00893080" w:rsidP="00136BE9">
      <w:pPr>
        <w:spacing w:after="120" w:line="240" w:lineRule="auto"/>
        <w:jc w:val="both"/>
      </w:pPr>
      <w:r w:rsidRPr="00893080">
        <w:rPr>
          <w:b/>
        </w:rPr>
        <w:t>Considerando</w:t>
      </w:r>
      <w:r>
        <w:t xml:space="preserve"> a Lei 12.378 de 31 de dezembro de 2010, </w:t>
      </w:r>
      <w:r w:rsidR="00031A03">
        <w:t xml:space="preserve">e </w:t>
      </w:r>
      <w:r w:rsidR="00E968DF" w:rsidRPr="00E968DF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>
        <w:t>penalidades, e dá outras providê</w:t>
      </w:r>
      <w:r w:rsidR="00E968DF" w:rsidRPr="00E968DF">
        <w:t>ncias;</w:t>
      </w:r>
    </w:p>
    <w:p w:rsidR="007709D5" w:rsidRDefault="007709D5" w:rsidP="007709D5">
      <w:pPr>
        <w:spacing w:after="0" w:line="240" w:lineRule="auto"/>
        <w:jc w:val="both"/>
      </w:pPr>
      <w:r w:rsidRPr="005F1E4B">
        <w:rPr>
          <w:b/>
        </w:rPr>
        <w:t>Considerando</w:t>
      </w:r>
      <w:r w:rsidRPr="005F1E4B">
        <w:t xml:space="preserve"> que o presente processo teve início em </w:t>
      </w:r>
      <w:r>
        <w:t>10/10/2019 por meio de solicitação de Certidão de Acervo Técnico com Atestado – CAT-A</w:t>
      </w:r>
      <w:r w:rsidRPr="005F1E4B">
        <w:t xml:space="preserve"> nº </w:t>
      </w:r>
      <w:r>
        <w:t>535229/2019 formulado pela</w:t>
      </w:r>
      <w:r w:rsidRPr="005F1E4B">
        <w:t xml:space="preserve"> interessad</w:t>
      </w:r>
      <w:r>
        <w:t>a</w:t>
      </w:r>
      <w:r w:rsidRPr="005F1E4B">
        <w:t xml:space="preserve">, </w:t>
      </w:r>
      <w:r>
        <w:t>onde forma anexados ao processo Atestado de Capacidade Técnica, RRT, Extrato de Contrato, Extrato de Termo Aditivo nº 1, Extrato de Termo Aditivo nº 2, Termo de Vistoria e Recebimento Provisório de Obra e Termo de Recebimento Definitivo de Obra;</w:t>
      </w:r>
    </w:p>
    <w:p w:rsidR="00611121" w:rsidRPr="005F1E4B" w:rsidRDefault="00611121" w:rsidP="007709D5">
      <w:pPr>
        <w:spacing w:after="0" w:line="240" w:lineRule="auto"/>
        <w:jc w:val="both"/>
      </w:pPr>
    </w:p>
    <w:p w:rsidR="00136BE9" w:rsidRDefault="00136BE9" w:rsidP="00136BE9">
      <w:pPr>
        <w:spacing w:after="120" w:line="240" w:lineRule="auto"/>
        <w:jc w:val="both"/>
      </w:pPr>
      <w:r>
        <w:rPr>
          <w:b/>
        </w:rPr>
        <w:t>Considerando</w:t>
      </w:r>
      <w:r>
        <w:t xml:space="preserve"> o parecer exarado </w:t>
      </w:r>
      <w:r w:rsidR="007709D5" w:rsidRPr="00D776E3">
        <w:t xml:space="preserve">pelo Conselheiro Estadual </w:t>
      </w:r>
      <w:r w:rsidR="007709D5">
        <w:t>Rubens Fernando Pereira de Camillo</w:t>
      </w:r>
      <w:r>
        <w:t xml:space="preserve">, membro da Comissão de Exercício Profissional e Relator do presente processo, </w:t>
      </w:r>
      <w:r w:rsidR="007709D5">
        <w:t>que os documento apresentados pela profissional estão com diversas informações divergentes, indo na contramão do disposto na Lei. Encontram-se divergências nas datas apresentadas e valores contratuais;</w:t>
      </w:r>
    </w:p>
    <w:p w:rsidR="00C06DE7" w:rsidRPr="00DF76F0" w:rsidRDefault="00C06DE7" w:rsidP="00C06DE7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356829" w:rsidRDefault="00356829" w:rsidP="00356829">
      <w:pPr>
        <w:spacing w:after="120" w:line="240" w:lineRule="auto"/>
        <w:rPr>
          <w:b/>
          <w:bCs/>
          <w:i/>
        </w:rPr>
      </w:pPr>
      <w:r>
        <w:rPr>
          <w:b/>
          <w:bCs/>
          <w:i/>
        </w:rPr>
        <w:t>RESOLVE:</w:t>
      </w:r>
    </w:p>
    <w:p w:rsidR="00E662FB" w:rsidRPr="00D3323C" w:rsidRDefault="00D913F0" w:rsidP="00356829">
      <w:pPr>
        <w:spacing w:after="0" w:line="240" w:lineRule="auto"/>
        <w:jc w:val="both"/>
      </w:pPr>
      <w:r>
        <w:t xml:space="preserve">1. </w:t>
      </w:r>
      <w:r w:rsidR="006243F7">
        <w:t>Aprovar o parecer d</w:t>
      </w:r>
      <w:r w:rsidR="00161A54">
        <w:t>o</w:t>
      </w:r>
      <w:r>
        <w:t xml:space="preserve"> </w:t>
      </w:r>
      <w:r w:rsidR="00161A54" w:rsidRPr="00D776E3">
        <w:t xml:space="preserve">Conselheiro Estadual </w:t>
      </w:r>
      <w:r w:rsidR="00161A54">
        <w:t>Rubens Fernando Pereira de Camillo</w:t>
      </w:r>
      <w:r w:rsidR="00A72A66" w:rsidRPr="00D3323C">
        <w:t>, pel</w:t>
      </w:r>
      <w:r w:rsidR="006243F7">
        <w:t>o</w:t>
      </w:r>
      <w:r w:rsidR="00A72A66" w:rsidRPr="00D3323C">
        <w:t xml:space="preserve"> </w:t>
      </w:r>
      <w:r w:rsidR="0081150B" w:rsidRPr="006243F7">
        <w:rPr>
          <w:i/>
        </w:rPr>
        <w:t>“</w:t>
      </w:r>
      <w:r w:rsidR="00B75D3E" w:rsidRPr="00B75D3E">
        <w:rPr>
          <w:i/>
        </w:rPr>
        <w:t>INDEFERIMENTO do Requerimento de Certidão de Acervo Técnico com Atestado (C</w:t>
      </w:r>
      <w:r w:rsidR="00161A54">
        <w:rPr>
          <w:i/>
        </w:rPr>
        <w:t>AT-A) – Protocolo nº 0985930/2019, nos termos das Resolução</w:t>
      </w:r>
      <w:r w:rsidR="00B75D3E" w:rsidRPr="00B75D3E">
        <w:rPr>
          <w:i/>
        </w:rPr>
        <w:t xml:space="preserve"> CAU/BR nº 91/2014, e pela exti</w:t>
      </w:r>
      <w:r w:rsidR="00B75D3E">
        <w:rPr>
          <w:i/>
        </w:rPr>
        <w:t>nção e arquivamento do processo. “</w:t>
      </w:r>
    </w:p>
    <w:p w:rsidR="00E662FB" w:rsidRDefault="00E662FB" w:rsidP="00E662FB">
      <w:pPr>
        <w:spacing w:after="0" w:line="240" w:lineRule="auto"/>
        <w:jc w:val="both"/>
      </w:pPr>
    </w:p>
    <w:p w:rsidR="006E7A76" w:rsidRDefault="00952E89" w:rsidP="00636C44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636C44" w:rsidRPr="00636C44">
        <w:rPr>
          <w:bCs/>
        </w:rPr>
        <w:t>. Comunique-se e intime-se, na forma da Resolução CAU/BR N. 22, de 04 de maio de 2012.</w:t>
      </w:r>
    </w:p>
    <w:p w:rsidR="00161A54" w:rsidRDefault="00161A54" w:rsidP="00636C44">
      <w:pPr>
        <w:spacing w:after="0" w:line="240" w:lineRule="auto"/>
        <w:jc w:val="both"/>
        <w:rPr>
          <w:bCs/>
        </w:rPr>
      </w:pPr>
    </w:p>
    <w:p w:rsidR="00485BB0" w:rsidRDefault="00485BB0" w:rsidP="00636C44">
      <w:pPr>
        <w:spacing w:after="0" w:line="240" w:lineRule="auto"/>
        <w:jc w:val="both"/>
        <w:rPr>
          <w:bCs/>
        </w:rPr>
      </w:pPr>
    </w:p>
    <w:p w:rsidR="00161A54" w:rsidRPr="00D776E3" w:rsidRDefault="00161A54" w:rsidP="00161A54">
      <w:pPr>
        <w:spacing w:after="120" w:line="240" w:lineRule="auto"/>
        <w:jc w:val="right"/>
      </w:pPr>
      <w:r w:rsidRPr="00D776E3">
        <w:rPr>
          <w:bCs/>
        </w:rPr>
        <w:t>Campo Grande, MS, 1</w:t>
      </w:r>
      <w:r>
        <w:rPr>
          <w:bCs/>
        </w:rPr>
        <w:t>9</w:t>
      </w:r>
      <w:r w:rsidRPr="00D776E3">
        <w:t xml:space="preserve"> de </w:t>
      </w:r>
      <w:r>
        <w:t>agost</w:t>
      </w:r>
      <w:r w:rsidRPr="00D776E3">
        <w:t>o de 2020.</w:t>
      </w:r>
    </w:p>
    <w:p w:rsidR="00161A54" w:rsidRDefault="00161A54" w:rsidP="00161A54">
      <w:pPr>
        <w:spacing w:line="240" w:lineRule="auto"/>
        <w:jc w:val="right"/>
      </w:pPr>
    </w:p>
    <w:p w:rsidR="00161A54" w:rsidRDefault="00161A54" w:rsidP="00161A54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161A54" w:rsidRPr="00B95669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161A54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037627" w:rsidRDefault="00037627" w:rsidP="00161A54">
      <w:pPr>
        <w:spacing w:after="0" w:line="240" w:lineRule="auto"/>
        <w:jc w:val="center"/>
      </w:pPr>
    </w:p>
    <w:p w:rsidR="00037627" w:rsidRDefault="00037627" w:rsidP="00161A54">
      <w:pPr>
        <w:spacing w:after="0" w:line="240" w:lineRule="auto"/>
        <w:jc w:val="center"/>
      </w:pPr>
    </w:p>
    <w:p w:rsidR="00037627" w:rsidRDefault="00037627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161A54" w:rsidTr="000411C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161A54" w:rsidTr="000411CC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161A54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</w:tr>
      <w:tr w:rsidR="00161A54" w:rsidTr="000411C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84ª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19/08/2020</w:t>
            </w:r>
          </w:p>
          <w:p w:rsidR="00161A54" w:rsidRPr="00714BB2" w:rsidRDefault="00161A54" w:rsidP="000411CC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0985930/2019 - </w:t>
            </w:r>
            <w:r>
              <w:t>RELATÓRIO DE CERTIDÃO DE ACERVO TÉCNICO COM ATESTADO (CAT – A)</w:t>
            </w:r>
          </w:p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( 1 )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161A54" w:rsidRPr="005742D5" w:rsidRDefault="00161A54" w:rsidP="000411C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161A54" w:rsidRPr="00363554" w:rsidRDefault="00161A54" w:rsidP="00161A54">
      <w:pPr>
        <w:spacing w:line="240" w:lineRule="auto"/>
        <w:jc w:val="center"/>
        <w:rPr>
          <w:bCs/>
          <w:noProof/>
          <w:lang w:eastAsia="pt-BR"/>
        </w:rPr>
      </w:pP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88" w:rsidRDefault="00581688">
    <w:pPr>
      <w:pStyle w:val="Rodap"/>
    </w:pPr>
  </w:p>
  <w:p w:rsidR="00581688" w:rsidRDefault="00581688">
    <w:pPr>
      <w:pStyle w:val="Rodap"/>
    </w:pPr>
  </w:p>
  <w:p w:rsidR="00581688" w:rsidRDefault="005816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161A54" w:rsidRDefault="00161A54" w:rsidP="00161A5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581688" w:rsidRDefault="00581688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07FF0"/>
    <w:rsid w:val="00024F7D"/>
    <w:rsid w:val="00031A03"/>
    <w:rsid w:val="00037627"/>
    <w:rsid w:val="0005012A"/>
    <w:rsid w:val="00052B38"/>
    <w:rsid w:val="00075475"/>
    <w:rsid w:val="00084EA4"/>
    <w:rsid w:val="000A080F"/>
    <w:rsid w:val="000B31E4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4F46"/>
    <w:rsid w:val="00136BE9"/>
    <w:rsid w:val="00150638"/>
    <w:rsid w:val="00161A54"/>
    <w:rsid w:val="00162A36"/>
    <w:rsid w:val="001A28FC"/>
    <w:rsid w:val="001C0793"/>
    <w:rsid w:val="001C18A3"/>
    <w:rsid w:val="001F109B"/>
    <w:rsid w:val="001F3184"/>
    <w:rsid w:val="001F6F08"/>
    <w:rsid w:val="0022365C"/>
    <w:rsid w:val="00224033"/>
    <w:rsid w:val="00240399"/>
    <w:rsid w:val="002416FB"/>
    <w:rsid w:val="002523CF"/>
    <w:rsid w:val="00261A70"/>
    <w:rsid w:val="0027653A"/>
    <w:rsid w:val="00280151"/>
    <w:rsid w:val="0028535E"/>
    <w:rsid w:val="00285BAE"/>
    <w:rsid w:val="00286688"/>
    <w:rsid w:val="002D5F75"/>
    <w:rsid w:val="002E45A8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D40B9"/>
    <w:rsid w:val="003E3132"/>
    <w:rsid w:val="003F447A"/>
    <w:rsid w:val="00433AEF"/>
    <w:rsid w:val="0043650A"/>
    <w:rsid w:val="00445DBE"/>
    <w:rsid w:val="00453906"/>
    <w:rsid w:val="0047010D"/>
    <w:rsid w:val="004752FE"/>
    <w:rsid w:val="00485BB0"/>
    <w:rsid w:val="0048787F"/>
    <w:rsid w:val="00491A07"/>
    <w:rsid w:val="004A4977"/>
    <w:rsid w:val="004B6779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81688"/>
    <w:rsid w:val="00594984"/>
    <w:rsid w:val="005A2412"/>
    <w:rsid w:val="005B4119"/>
    <w:rsid w:val="005B7648"/>
    <w:rsid w:val="005D12CE"/>
    <w:rsid w:val="005E1AF2"/>
    <w:rsid w:val="00611121"/>
    <w:rsid w:val="00612EB5"/>
    <w:rsid w:val="006243F7"/>
    <w:rsid w:val="0063289B"/>
    <w:rsid w:val="00636C44"/>
    <w:rsid w:val="0063715F"/>
    <w:rsid w:val="00643084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56FC5"/>
    <w:rsid w:val="007709D5"/>
    <w:rsid w:val="00792F3D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70D05"/>
    <w:rsid w:val="00873204"/>
    <w:rsid w:val="00893080"/>
    <w:rsid w:val="00894E44"/>
    <w:rsid w:val="00895239"/>
    <w:rsid w:val="008A5A56"/>
    <w:rsid w:val="008A619E"/>
    <w:rsid w:val="008C3DEE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96A23"/>
    <w:rsid w:val="009A18BA"/>
    <w:rsid w:val="009A6CE0"/>
    <w:rsid w:val="009C2F7C"/>
    <w:rsid w:val="009C5596"/>
    <w:rsid w:val="009E0A17"/>
    <w:rsid w:val="009F62CA"/>
    <w:rsid w:val="009F7BED"/>
    <w:rsid w:val="00A20D17"/>
    <w:rsid w:val="00A37E99"/>
    <w:rsid w:val="00A40BAF"/>
    <w:rsid w:val="00A4709E"/>
    <w:rsid w:val="00A55682"/>
    <w:rsid w:val="00A60232"/>
    <w:rsid w:val="00A60E8A"/>
    <w:rsid w:val="00A72A66"/>
    <w:rsid w:val="00A730EC"/>
    <w:rsid w:val="00A77613"/>
    <w:rsid w:val="00A94F55"/>
    <w:rsid w:val="00AB5BCD"/>
    <w:rsid w:val="00AB6501"/>
    <w:rsid w:val="00AB793B"/>
    <w:rsid w:val="00AC56A7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D3E"/>
    <w:rsid w:val="00B8067F"/>
    <w:rsid w:val="00B92DB9"/>
    <w:rsid w:val="00B969E5"/>
    <w:rsid w:val="00BA3E5F"/>
    <w:rsid w:val="00BB6091"/>
    <w:rsid w:val="00BD1FE1"/>
    <w:rsid w:val="00C01855"/>
    <w:rsid w:val="00C053BD"/>
    <w:rsid w:val="00C06DE7"/>
    <w:rsid w:val="00C162F5"/>
    <w:rsid w:val="00C21040"/>
    <w:rsid w:val="00C212AB"/>
    <w:rsid w:val="00C23788"/>
    <w:rsid w:val="00C278D0"/>
    <w:rsid w:val="00C35D58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3072"/>
    <w:rsid w:val="00D7656B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DF76F0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0A0"/>
    <w:rsid w:val="00E6724B"/>
    <w:rsid w:val="00E67C64"/>
    <w:rsid w:val="00E72C0A"/>
    <w:rsid w:val="00E77615"/>
    <w:rsid w:val="00E968DF"/>
    <w:rsid w:val="00EB2C48"/>
    <w:rsid w:val="00EC5AB7"/>
    <w:rsid w:val="00ED137A"/>
    <w:rsid w:val="00ED61BA"/>
    <w:rsid w:val="00ED6CEC"/>
    <w:rsid w:val="00EE1213"/>
    <w:rsid w:val="00EE34A8"/>
    <w:rsid w:val="00F00BF9"/>
    <w:rsid w:val="00F01B5A"/>
    <w:rsid w:val="00F349B6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C546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DD939E0-B718-46CD-BBA1-C40269E4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4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1A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1A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61A54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594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ADB88-03D8-4863-81FE-02D0696A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7</cp:revision>
  <cp:lastPrinted>2020-08-31T16:47:00Z</cp:lastPrinted>
  <dcterms:created xsi:type="dcterms:W3CDTF">2020-08-27T20:28:00Z</dcterms:created>
  <dcterms:modified xsi:type="dcterms:W3CDTF">2020-08-31T17:33:00Z</dcterms:modified>
</cp:coreProperties>
</file>