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5C" w:rsidRDefault="0026115C">
      <w:pPr>
        <w:pStyle w:val="Corpodetexto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88"/>
        <w:gridCol w:w="1150"/>
        <w:gridCol w:w="2158"/>
      </w:tblGrid>
      <w:tr w:rsidR="0026115C">
        <w:trPr>
          <w:trHeight w:val="596"/>
        </w:trPr>
        <w:tc>
          <w:tcPr>
            <w:tcW w:w="1985" w:type="dxa"/>
            <w:tcBorders>
              <w:left w:val="nil"/>
              <w:right w:val="single" w:sz="4" w:space="0" w:color="80808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988" w:type="dxa"/>
            <w:tcBorders>
              <w:left w:val="single" w:sz="4" w:space="0" w:color="808080"/>
              <w:right w:val="single" w:sz="4" w:space="0" w:color="000000"/>
            </w:tcBorders>
          </w:tcPr>
          <w:p w:rsidR="0026115C" w:rsidRDefault="00250CA2">
            <w:pPr>
              <w:pStyle w:val="TableParagraph"/>
              <w:spacing w:before="176"/>
              <w:ind w:left="81"/>
              <w:rPr>
                <w:sz w:val="20"/>
              </w:rPr>
            </w:pPr>
            <w:r>
              <w:rPr>
                <w:sz w:val="20"/>
              </w:rPr>
              <w:t>19 de fevereiro 2020 (quarta-feira)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26115C" w:rsidRDefault="00250CA2">
            <w:pPr>
              <w:pStyle w:val="TableParagraph"/>
              <w:spacing w:before="176"/>
              <w:ind w:left="80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  <w:tc>
          <w:tcPr>
            <w:tcW w:w="2158" w:type="dxa"/>
            <w:tcBorders>
              <w:left w:val="single" w:sz="4" w:space="0" w:color="000000"/>
              <w:right w:val="nil"/>
            </w:tcBorders>
          </w:tcPr>
          <w:p w:rsidR="0026115C" w:rsidRDefault="00250CA2">
            <w:pPr>
              <w:pStyle w:val="TableParagraph"/>
              <w:spacing w:before="54"/>
              <w:ind w:left="80" w:right="124"/>
              <w:rPr>
                <w:sz w:val="20"/>
              </w:rPr>
            </w:pPr>
            <w:r>
              <w:rPr>
                <w:sz w:val="20"/>
              </w:rPr>
              <w:t>14h:15min às 15h:39min</w:t>
            </w:r>
          </w:p>
        </w:tc>
      </w:tr>
      <w:tr w:rsidR="0026115C">
        <w:trPr>
          <w:trHeight w:val="352"/>
        </w:trPr>
        <w:tc>
          <w:tcPr>
            <w:tcW w:w="1985" w:type="dxa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7296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26115C" w:rsidRDefault="00250CA2">
            <w:pPr>
              <w:pStyle w:val="TableParagraph"/>
              <w:spacing w:before="54"/>
              <w:ind w:left="81"/>
              <w:rPr>
                <w:sz w:val="20"/>
              </w:rPr>
            </w:pPr>
            <w:r>
              <w:rPr>
                <w:sz w:val="20"/>
              </w:rPr>
              <w:t xml:space="preserve">CAU/MS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 xml:space="preserve">Espirito Santo 205, Jd. dos Estados - Campo Grande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MS</w:t>
            </w:r>
          </w:p>
        </w:tc>
      </w:tr>
    </w:tbl>
    <w:p w:rsidR="0026115C" w:rsidRDefault="00250CA2">
      <w:pPr>
        <w:pStyle w:val="Ttulo1"/>
        <w:numPr>
          <w:ilvl w:val="0"/>
          <w:numId w:val="3"/>
        </w:numPr>
        <w:tabs>
          <w:tab w:val="left" w:pos="661"/>
          <w:tab w:val="left" w:pos="662"/>
          <w:tab w:val="left" w:pos="9404"/>
        </w:tabs>
      </w:pPr>
      <w:r>
        <w:rPr>
          <w:spacing w:val="3"/>
          <w:shd w:val="clear" w:color="auto" w:fill="D9D9D9"/>
        </w:rPr>
        <w:t>PARTICIPAÇÃO:</w:t>
      </w:r>
      <w:r>
        <w:rPr>
          <w:spacing w:val="3"/>
          <w:shd w:val="clear" w:color="auto" w:fill="D9D9D9"/>
        </w:rPr>
        <w:tab/>
      </w:r>
    </w:p>
    <w:p w:rsidR="0026115C" w:rsidRDefault="0026115C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16"/>
        <w:gridCol w:w="3286"/>
      </w:tblGrid>
      <w:tr w:rsidR="0026115C">
        <w:trPr>
          <w:trHeight w:val="311"/>
        </w:trPr>
        <w:tc>
          <w:tcPr>
            <w:tcW w:w="1980" w:type="dxa"/>
            <w:shd w:val="clear" w:color="auto" w:fill="F3F3F3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COORDENAÇÃO</w:t>
            </w: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COORDENADOR</w:t>
            </w:r>
          </w:p>
        </w:tc>
      </w:tr>
      <w:tr w:rsidR="0026115C">
        <w:trPr>
          <w:trHeight w:val="326"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RUBENS FERNANDO. P. DE CAMILLO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CONSELHEIRO ESTADUAL</w:t>
            </w:r>
          </w:p>
        </w:tc>
      </w:tr>
      <w:tr w:rsidR="0026115C">
        <w:trPr>
          <w:trHeight w:val="323"/>
        </w:trPr>
        <w:tc>
          <w:tcPr>
            <w:tcW w:w="1980" w:type="dxa"/>
            <w:vMerge/>
            <w:tcBorders>
              <w:top w:val="nil"/>
              <w:bottom w:val="single" w:sz="4" w:space="0" w:color="000000"/>
            </w:tcBorders>
            <w:shd w:val="clear" w:color="auto" w:fill="F3F3F3"/>
          </w:tcPr>
          <w:p w:rsidR="0026115C" w:rsidRDefault="0026115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bottom w:val="single" w:sz="4" w:space="0" w:color="000000"/>
            </w:tcBorders>
          </w:tcPr>
          <w:p w:rsidR="0026115C" w:rsidRDefault="00250CA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VINICIUS DAVID CHARRO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</w:tcPr>
          <w:p w:rsidR="0026115C" w:rsidRDefault="00250CA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SUPLENTE DE CONSELHEIRO</w:t>
            </w:r>
          </w:p>
        </w:tc>
      </w:tr>
      <w:tr w:rsidR="0026115C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6115C" w:rsidRDefault="00250CA2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ASSESSORIA TÉCNICA</w:t>
            </w:r>
          </w:p>
        </w:tc>
        <w:tc>
          <w:tcPr>
            <w:tcW w:w="4016" w:type="dxa"/>
            <w:tcBorders>
              <w:top w:val="single" w:sz="4" w:space="0" w:color="000000"/>
            </w:tcBorders>
          </w:tcPr>
          <w:p w:rsidR="0026115C" w:rsidRDefault="00250CA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ISABELA FURTADO</w:t>
            </w:r>
          </w:p>
        </w:tc>
        <w:tc>
          <w:tcPr>
            <w:tcW w:w="3286" w:type="dxa"/>
            <w:tcBorders>
              <w:top w:val="single" w:sz="4" w:space="0" w:color="000000"/>
            </w:tcBorders>
          </w:tcPr>
          <w:p w:rsidR="0026115C" w:rsidRDefault="00250CA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ASSESSOR TÉCNICO</w:t>
            </w:r>
          </w:p>
        </w:tc>
      </w:tr>
      <w:tr w:rsidR="0026115C">
        <w:trPr>
          <w:trHeight w:val="314"/>
        </w:trPr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3F3F3"/>
          </w:tcPr>
          <w:p w:rsidR="0026115C" w:rsidRDefault="0026115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DIEGO LUIZ R. LÜBE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ASSESSOR JURÍDICO</w:t>
            </w:r>
          </w:p>
        </w:tc>
      </w:tr>
      <w:tr w:rsidR="0026115C">
        <w:trPr>
          <w:trHeight w:val="311"/>
        </w:trPr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3F3F3"/>
          </w:tcPr>
          <w:p w:rsidR="0026115C" w:rsidRDefault="0026115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KEILA FERNANDES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SECRETÁRIA GERAL</w:t>
            </w:r>
          </w:p>
        </w:tc>
      </w:tr>
      <w:tr w:rsidR="0026115C">
        <w:trPr>
          <w:trHeight w:val="311"/>
        </w:trPr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3F3F3"/>
          </w:tcPr>
          <w:p w:rsidR="0026115C" w:rsidRDefault="0026115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MAIARA SOMMER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AGENTE FISCAL</w:t>
            </w:r>
          </w:p>
        </w:tc>
      </w:tr>
      <w:tr w:rsidR="0026115C">
        <w:trPr>
          <w:trHeight w:val="311"/>
        </w:trPr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3F3F3"/>
          </w:tcPr>
          <w:p w:rsidR="0026115C" w:rsidRDefault="0026115C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FABRÍCIA TORQUATO</w:t>
            </w:r>
          </w:p>
        </w:tc>
        <w:tc>
          <w:tcPr>
            <w:tcW w:w="3286" w:type="dxa"/>
          </w:tcPr>
          <w:p w:rsidR="0026115C" w:rsidRDefault="00250CA2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GERENTE DE FISCALIZAÇÃO</w:t>
            </w:r>
          </w:p>
        </w:tc>
      </w:tr>
    </w:tbl>
    <w:p w:rsidR="0026115C" w:rsidRDefault="00250CA2">
      <w:pPr>
        <w:pStyle w:val="PargrafodaLista"/>
        <w:numPr>
          <w:ilvl w:val="0"/>
          <w:numId w:val="3"/>
        </w:numPr>
        <w:tabs>
          <w:tab w:val="left" w:pos="661"/>
          <w:tab w:val="left" w:pos="662"/>
          <w:tab w:val="left" w:pos="9404"/>
        </w:tabs>
        <w:rPr>
          <w:sz w:val="20"/>
        </w:rPr>
      </w:pPr>
      <w:r>
        <w:rPr>
          <w:spacing w:val="3"/>
          <w:sz w:val="20"/>
          <w:shd w:val="clear" w:color="auto" w:fill="D9D9D9"/>
        </w:rPr>
        <w:t xml:space="preserve">DESENVOLVIMENTO </w:t>
      </w:r>
      <w:r>
        <w:rPr>
          <w:spacing w:val="2"/>
          <w:sz w:val="20"/>
          <w:shd w:val="clear" w:color="auto" w:fill="D9D9D9"/>
        </w:rPr>
        <w:t>DOS</w:t>
      </w:r>
      <w:r>
        <w:rPr>
          <w:spacing w:val="18"/>
          <w:sz w:val="20"/>
          <w:shd w:val="clear" w:color="auto" w:fill="D9D9D9"/>
        </w:rPr>
        <w:t xml:space="preserve"> </w:t>
      </w:r>
      <w:r>
        <w:rPr>
          <w:spacing w:val="3"/>
          <w:sz w:val="20"/>
          <w:shd w:val="clear" w:color="auto" w:fill="D9D9D9"/>
        </w:rPr>
        <w:t>TRABALHOS</w:t>
      </w:r>
      <w:r>
        <w:rPr>
          <w:spacing w:val="3"/>
          <w:sz w:val="20"/>
          <w:shd w:val="clear" w:color="auto" w:fill="D9D9D9"/>
        </w:rPr>
        <w:tab/>
      </w:r>
    </w:p>
    <w:p w:rsidR="0026115C" w:rsidRDefault="0026115C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30"/>
      </w:tblGrid>
      <w:tr w:rsidR="0026115C">
        <w:trPr>
          <w:trHeight w:val="1607"/>
        </w:trPr>
        <w:tc>
          <w:tcPr>
            <w:tcW w:w="19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6115C" w:rsidRDefault="00250CA2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ESTRUTURA DE PAUTA</w:t>
            </w:r>
          </w:p>
        </w:tc>
        <w:tc>
          <w:tcPr>
            <w:tcW w:w="723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32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Verificação </w:t>
            </w:r>
            <w:r>
              <w:rPr>
                <w:spacing w:val="2"/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quórum;</w:t>
            </w:r>
          </w:p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2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Leitura </w:t>
            </w:r>
            <w:r>
              <w:rPr>
                <w:sz w:val="20"/>
              </w:rPr>
              <w:t xml:space="preserve">e </w:t>
            </w:r>
            <w:r>
              <w:rPr>
                <w:spacing w:val="3"/>
                <w:sz w:val="20"/>
              </w:rPr>
              <w:t xml:space="preserve">aprovação </w:t>
            </w:r>
            <w:r>
              <w:rPr>
                <w:spacing w:val="2"/>
                <w:sz w:val="20"/>
              </w:rPr>
              <w:t xml:space="preserve">da súmula da </w:t>
            </w:r>
            <w:r>
              <w:rPr>
                <w:spacing w:val="3"/>
                <w:sz w:val="20"/>
              </w:rPr>
              <w:t>reunião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anterior;</w:t>
            </w:r>
          </w:p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2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Leitura </w:t>
            </w:r>
            <w:r>
              <w:rPr>
                <w:sz w:val="20"/>
              </w:rPr>
              <w:t xml:space="preserve">e </w:t>
            </w:r>
            <w:r>
              <w:rPr>
                <w:spacing w:val="2"/>
                <w:sz w:val="20"/>
              </w:rPr>
              <w:t>extrato 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correspondências;</w:t>
            </w:r>
          </w:p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17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>Comunicações;</w:t>
            </w:r>
          </w:p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2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Assuntos </w:t>
            </w:r>
            <w:r>
              <w:rPr>
                <w:sz w:val="20"/>
              </w:rPr>
              <w:t>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pauta;</w:t>
            </w:r>
          </w:p>
          <w:p w:rsidR="0026115C" w:rsidRDefault="00250CA2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spacing w:before="18" w:line="240" w:lineRule="exact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>Encerramento.</w:t>
            </w:r>
          </w:p>
        </w:tc>
      </w:tr>
      <w:tr w:rsidR="0026115C">
        <w:trPr>
          <w:trHeight w:val="88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ABERTURA DOS TRABALHOS</w:t>
            </w:r>
          </w:p>
        </w:tc>
        <w:tc>
          <w:tcPr>
            <w:tcW w:w="7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O Coordenador </w:t>
            </w:r>
            <w:r>
              <w:rPr>
                <w:b/>
                <w:sz w:val="20"/>
              </w:rPr>
              <w:t>Carlos Lucas Mali</w:t>
            </w:r>
            <w:r>
              <w:rPr>
                <w:sz w:val="20"/>
              </w:rPr>
              <w:t>, agradece a presença de todos, constata a existência de quórum e instala a 80ª Reunião da Comissão de Exercício Profissional do Conselho de Arquitetura e Urbanismo de Mato Grosso do Sul - CEP CAU/MS.</w:t>
            </w:r>
          </w:p>
        </w:tc>
      </w:tr>
      <w:tr w:rsidR="0026115C">
        <w:trPr>
          <w:trHeight w:val="2464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CONCLUSÃO DOS TRABALHOS</w:t>
            </w:r>
          </w:p>
        </w:tc>
        <w:tc>
          <w:tcPr>
            <w:tcW w:w="7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74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Leitura </w:t>
            </w:r>
            <w:r>
              <w:rPr>
                <w:sz w:val="20"/>
              </w:rPr>
              <w:t xml:space="preserve">e </w:t>
            </w:r>
            <w:r>
              <w:rPr>
                <w:spacing w:val="3"/>
                <w:sz w:val="20"/>
              </w:rPr>
              <w:t xml:space="preserve">aprovação </w:t>
            </w:r>
            <w:r>
              <w:rPr>
                <w:spacing w:val="2"/>
                <w:sz w:val="20"/>
              </w:rPr>
              <w:t xml:space="preserve">da Súmula </w:t>
            </w:r>
            <w:r>
              <w:rPr>
                <w:sz w:val="20"/>
              </w:rPr>
              <w:t xml:space="preserve">da </w:t>
            </w:r>
            <w:r>
              <w:rPr>
                <w:spacing w:val="5"/>
                <w:sz w:val="20"/>
              </w:rPr>
              <w:t xml:space="preserve">79ª </w:t>
            </w:r>
            <w:r>
              <w:rPr>
                <w:spacing w:val="3"/>
                <w:sz w:val="20"/>
              </w:rPr>
              <w:t>Reunião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Ordinária;</w:t>
            </w:r>
          </w:p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Relato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z w:val="20"/>
              </w:rPr>
              <w:t xml:space="preserve">09 </w:t>
            </w:r>
            <w:r>
              <w:rPr>
                <w:spacing w:val="3"/>
                <w:sz w:val="20"/>
              </w:rPr>
              <w:t>processos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administrativos;</w:t>
            </w:r>
          </w:p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0"/>
              <w:ind w:right="78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Processos Administrativos </w:t>
            </w:r>
            <w:r>
              <w:rPr>
                <w:spacing w:val="4"/>
                <w:sz w:val="20"/>
              </w:rPr>
              <w:t xml:space="preserve">nºs </w:t>
            </w:r>
            <w:r>
              <w:rPr>
                <w:spacing w:val="3"/>
                <w:sz w:val="20"/>
              </w:rPr>
              <w:t xml:space="preserve">1012016/2019; 1012017/2019;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pacing w:val="3"/>
                <w:sz w:val="20"/>
              </w:rPr>
              <w:t xml:space="preserve">Ausência </w:t>
            </w:r>
            <w:r>
              <w:rPr>
                <w:spacing w:val="2"/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RRT;</w:t>
            </w:r>
          </w:p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Processo Administrativo </w:t>
            </w:r>
            <w:r>
              <w:rPr>
                <w:spacing w:val="2"/>
                <w:sz w:val="20"/>
              </w:rPr>
              <w:t xml:space="preserve">nº </w:t>
            </w:r>
            <w:r>
              <w:rPr>
                <w:spacing w:val="3"/>
                <w:sz w:val="20"/>
              </w:rPr>
              <w:t xml:space="preserve">996085/2019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pacing w:val="3"/>
                <w:sz w:val="20"/>
              </w:rPr>
              <w:t xml:space="preserve">Retirado </w:t>
            </w:r>
            <w:r>
              <w:rPr>
                <w:sz w:val="20"/>
              </w:rPr>
              <w:t>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Pauta;</w:t>
            </w:r>
          </w:p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0"/>
              <w:ind w:right="75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Processo Administrativo </w:t>
            </w:r>
            <w:r>
              <w:rPr>
                <w:spacing w:val="2"/>
                <w:sz w:val="20"/>
              </w:rPr>
              <w:t xml:space="preserve">nº </w:t>
            </w:r>
            <w:r>
              <w:rPr>
                <w:spacing w:val="4"/>
                <w:sz w:val="20"/>
              </w:rPr>
              <w:t xml:space="preserve">920733/2019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pacing w:val="3"/>
                <w:sz w:val="20"/>
              </w:rPr>
              <w:t xml:space="preserve">Solicitação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Informação </w:t>
            </w:r>
            <w:r>
              <w:rPr>
                <w:sz w:val="20"/>
              </w:rPr>
              <w:t xml:space="preserve">- </w:t>
            </w:r>
            <w:r>
              <w:rPr>
                <w:spacing w:val="3"/>
                <w:sz w:val="20"/>
              </w:rPr>
              <w:t>Licitação;</w:t>
            </w:r>
          </w:p>
          <w:p w:rsidR="0026115C" w:rsidRDefault="00250CA2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0"/>
              <w:ind w:hanging="361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Processo Administrativo </w:t>
            </w:r>
            <w:r>
              <w:rPr>
                <w:spacing w:val="2"/>
                <w:sz w:val="20"/>
              </w:rPr>
              <w:t xml:space="preserve">nº </w:t>
            </w:r>
            <w:r>
              <w:rPr>
                <w:spacing w:val="3"/>
                <w:sz w:val="20"/>
              </w:rPr>
              <w:t xml:space="preserve">939713/2019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Denúncia;</w:t>
            </w:r>
          </w:p>
        </w:tc>
      </w:tr>
    </w:tbl>
    <w:p w:rsidR="0026115C" w:rsidRDefault="00250CA2">
      <w:pPr>
        <w:pStyle w:val="PargrafodaLista"/>
        <w:numPr>
          <w:ilvl w:val="0"/>
          <w:numId w:val="3"/>
        </w:numPr>
        <w:tabs>
          <w:tab w:val="left" w:pos="661"/>
          <w:tab w:val="left" w:pos="662"/>
          <w:tab w:val="left" w:pos="9404"/>
        </w:tabs>
        <w:rPr>
          <w:sz w:val="20"/>
        </w:rPr>
      </w:pPr>
      <w:r>
        <w:rPr>
          <w:b/>
          <w:spacing w:val="3"/>
          <w:sz w:val="20"/>
          <w:shd w:val="clear" w:color="auto" w:fill="D9D9D9"/>
        </w:rPr>
        <w:t>ORDEM</w:t>
      </w:r>
      <w:r>
        <w:rPr>
          <w:b/>
          <w:spacing w:val="10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DO</w:t>
      </w:r>
      <w:r>
        <w:rPr>
          <w:b/>
          <w:spacing w:val="9"/>
          <w:sz w:val="20"/>
          <w:shd w:val="clear" w:color="auto" w:fill="D9D9D9"/>
        </w:rPr>
        <w:t xml:space="preserve"> </w:t>
      </w:r>
      <w:r>
        <w:rPr>
          <w:b/>
          <w:spacing w:val="2"/>
          <w:sz w:val="20"/>
          <w:shd w:val="clear" w:color="auto" w:fill="D9D9D9"/>
        </w:rPr>
        <w:t>DIA</w:t>
      </w:r>
      <w:r>
        <w:rPr>
          <w:b/>
          <w:spacing w:val="11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 xml:space="preserve">- </w:t>
      </w:r>
      <w:r>
        <w:rPr>
          <w:spacing w:val="11"/>
          <w:sz w:val="20"/>
          <w:shd w:val="clear" w:color="auto" w:fill="D9D9D9"/>
        </w:rPr>
        <w:t xml:space="preserve"> </w:t>
      </w:r>
      <w:r>
        <w:rPr>
          <w:spacing w:val="2"/>
          <w:sz w:val="20"/>
          <w:shd w:val="clear" w:color="auto" w:fill="D9D9D9"/>
        </w:rPr>
        <w:t>PAUTA;</w:t>
      </w:r>
      <w:r>
        <w:rPr>
          <w:spacing w:val="10"/>
          <w:sz w:val="20"/>
          <w:shd w:val="clear" w:color="auto" w:fill="D9D9D9"/>
        </w:rPr>
        <w:t xml:space="preserve"> </w:t>
      </w:r>
      <w:r>
        <w:rPr>
          <w:spacing w:val="2"/>
          <w:sz w:val="20"/>
          <w:shd w:val="clear" w:color="auto" w:fill="D9D9D9"/>
        </w:rPr>
        <w:t>EXTRA</w:t>
      </w:r>
      <w:r>
        <w:rPr>
          <w:spacing w:val="9"/>
          <w:sz w:val="20"/>
          <w:shd w:val="clear" w:color="auto" w:fill="D9D9D9"/>
        </w:rPr>
        <w:t xml:space="preserve"> </w:t>
      </w:r>
      <w:r>
        <w:rPr>
          <w:spacing w:val="3"/>
          <w:sz w:val="20"/>
          <w:shd w:val="clear" w:color="auto" w:fill="D9D9D9"/>
        </w:rPr>
        <w:t>PAUTA</w:t>
      </w:r>
      <w:r>
        <w:rPr>
          <w:spacing w:val="7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>E</w:t>
      </w:r>
      <w:r>
        <w:rPr>
          <w:spacing w:val="15"/>
          <w:sz w:val="20"/>
          <w:shd w:val="clear" w:color="auto" w:fill="D9D9D9"/>
        </w:rPr>
        <w:t xml:space="preserve"> </w:t>
      </w:r>
      <w:r>
        <w:rPr>
          <w:spacing w:val="3"/>
          <w:sz w:val="20"/>
          <w:shd w:val="clear" w:color="auto" w:fill="D9D9D9"/>
        </w:rPr>
        <w:t>COMUNICADOS</w:t>
      </w:r>
      <w:r>
        <w:rPr>
          <w:spacing w:val="9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>DE</w:t>
      </w:r>
      <w:r>
        <w:rPr>
          <w:spacing w:val="8"/>
          <w:sz w:val="20"/>
          <w:shd w:val="clear" w:color="auto" w:fill="D9D9D9"/>
        </w:rPr>
        <w:t xml:space="preserve"> </w:t>
      </w:r>
      <w:r>
        <w:rPr>
          <w:spacing w:val="3"/>
          <w:sz w:val="20"/>
          <w:shd w:val="clear" w:color="auto" w:fill="D9D9D9"/>
        </w:rPr>
        <w:t>INTERESSE</w:t>
      </w:r>
      <w:r>
        <w:rPr>
          <w:spacing w:val="11"/>
          <w:sz w:val="20"/>
          <w:shd w:val="clear" w:color="auto" w:fill="D9D9D9"/>
        </w:rPr>
        <w:t xml:space="preserve"> </w:t>
      </w:r>
      <w:r>
        <w:rPr>
          <w:spacing w:val="2"/>
          <w:sz w:val="20"/>
          <w:shd w:val="clear" w:color="auto" w:fill="D9D9D9"/>
        </w:rPr>
        <w:t>GERAL</w:t>
      </w:r>
      <w:r>
        <w:rPr>
          <w:spacing w:val="2"/>
          <w:sz w:val="20"/>
          <w:shd w:val="clear" w:color="auto" w:fill="D9D9D9"/>
        </w:rPr>
        <w:tab/>
      </w:r>
    </w:p>
    <w:p w:rsidR="0026115C" w:rsidRDefault="0026115C">
      <w:pPr>
        <w:spacing w:before="11" w:after="1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Leitura da Súmula da 79ª Reunião Ordinária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CEP CAU/MS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63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O relator realizou a leitura da Súmula, que em seguida foi aprovada por todos os conselheiros presentes.</w:t>
            </w:r>
          </w:p>
        </w:tc>
      </w:tr>
      <w:tr w:rsidR="0026115C">
        <w:trPr>
          <w:trHeight w:val="639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tabs>
                <w:tab w:val="left" w:pos="809"/>
              </w:tabs>
              <w:spacing w:before="75"/>
              <w:ind w:left="809" w:right="106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 xml:space="preserve">Aprovação </w:t>
            </w:r>
            <w:r>
              <w:rPr>
                <w:sz w:val="20"/>
              </w:rPr>
              <w:t xml:space="preserve">da </w:t>
            </w:r>
            <w:r>
              <w:rPr>
                <w:spacing w:val="3"/>
                <w:sz w:val="20"/>
              </w:rPr>
              <w:t xml:space="preserve">Súmula </w:t>
            </w:r>
            <w:r>
              <w:rPr>
                <w:sz w:val="20"/>
              </w:rPr>
              <w:t xml:space="preserve">da </w:t>
            </w:r>
            <w:r>
              <w:rPr>
                <w:b/>
                <w:spacing w:val="2"/>
                <w:sz w:val="20"/>
              </w:rPr>
              <w:t xml:space="preserve">79ª </w:t>
            </w:r>
            <w:r>
              <w:rPr>
                <w:b/>
                <w:spacing w:val="3"/>
                <w:sz w:val="20"/>
              </w:rPr>
              <w:t xml:space="preserve">Reunião Ordinária </w:t>
            </w:r>
            <w:r>
              <w:rPr>
                <w:spacing w:val="2"/>
                <w:sz w:val="20"/>
              </w:rPr>
              <w:t xml:space="preserve">da </w:t>
            </w:r>
            <w:r>
              <w:rPr>
                <w:spacing w:val="3"/>
                <w:sz w:val="20"/>
              </w:rPr>
              <w:t xml:space="preserve">Comissão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Exercício Profissional </w:t>
            </w:r>
            <w:r>
              <w:rPr>
                <w:sz w:val="20"/>
              </w:rPr>
              <w:t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CAU/MS.</w:t>
            </w:r>
          </w:p>
        </w:tc>
      </w:tr>
    </w:tbl>
    <w:p w:rsidR="0026115C" w:rsidRDefault="0026115C">
      <w:pPr>
        <w:spacing w:before="10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Processo Administrativo nº 1012016 -2019;</w:t>
            </w:r>
          </w:p>
        </w:tc>
      </w:tr>
    </w:tbl>
    <w:p w:rsidR="0026115C" w:rsidRDefault="0026115C">
      <w:pPr>
        <w:rPr>
          <w:sz w:val="20"/>
        </w:rPr>
        <w:sectPr w:rsidR="0026115C">
          <w:headerReference w:type="default" r:id="rId7"/>
          <w:footerReference w:type="default" r:id="rId8"/>
          <w:type w:val="continuous"/>
          <w:pgSz w:w="11900" w:h="16850"/>
          <w:pgMar w:top="2260" w:right="960" w:bottom="680" w:left="1400" w:header="1599" w:footer="491" w:gutter="0"/>
          <w:pgNumType w:start="1"/>
          <w:cols w:space="720"/>
        </w:sectPr>
      </w:pPr>
    </w:p>
    <w:p w:rsidR="0026115C" w:rsidRDefault="0026115C">
      <w:pPr>
        <w:spacing w:before="5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Vinícius David Charro</w:t>
            </w:r>
          </w:p>
        </w:tc>
      </w:tr>
      <w:tr w:rsidR="0026115C">
        <w:trPr>
          <w:trHeight w:val="3078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 w:right="7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i/>
                <w:spacing w:val="3"/>
                <w:sz w:val="20"/>
              </w:rPr>
              <w:t xml:space="preserve">Aprovar </w:t>
            </w:r>
            <w:r>
              <w:rPr>
                <w:i/>
                <w:sz w:val="20"/>
              </w:rPr>
              <w:t xml:space="preserve">o </w:t>
            </w:r>
            <w:r>
              <w:rPr>
                <w:i/>
                <w:spacing w:val="3"/>
                <w:sz w:val="20"/>
              </w:rPr>
              <w:t xml:space="preserve">parecer exarado pelo Suplente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Conselheiro Vinicius David Charro: 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“pela </w:t>
            </w:r>
            <w:r>
              <w:rPr>
                <w:i/>
                <w:spacing w:val="3"/>
                <w:sz w:val="20"/>
              </w:rPr>
              <w:t xml:space="preserve">procedência </w:t>
            </w:r>
            <w:r>
              <w:rPr>
                <w:i/>
                <w:sz w:val="20"/>
              </w:rPr>
              <w:t xml:space="preserve">do </w:t>
            </w:r>
            <w:r>
              <w:rPr>
                <w:i/>
                <w:spacing w:val="2"/>
                <w:sz w:val="20"/>
              </w:rPr>
              <w:t xml:space="preserve">Auto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Infração nº.1000081954/2019, </w:t>
            </w:r>
            <w:r>
              <w:rPr>
                <w:i/>
                <w:sz w:val="20"/>
              </w:rPr>
              <w:t xml:space="preserve">em </w:t>
            </w:r>
            <w:r>
              <w:rPr>
                <w:i/>
                <w:spacing w:val="2"/>
                <w:sz w:val="20"/>
              </w:rPr>
              <w:t xml:space="preserve">face do </w:t>
            </w:r>
            <w:r>
              <w:rPr>
                <w:i/>
                <w:sz w:val="20"/>
              </w:rPr>
              <w:t xml:space="preserve">que </w:t>
            </w:r>
            <w:r>
              <w:rPr>
                <w:i/>
                <w:spacing w:val="3"/>
                <w:sz w:val="20"/>
              </w:rPr>
              <w:t xml:space="preserve">consta </w:t>
            </w:r>
            <w:r>
              <w:rPr>
                <w:i/>
                <w:spacing w:val="2"/>
                <w:sz w:val="20"/>
              </w:rPr>
              <w:t xml:space="preserve">no </w:t>
            </w:r>
            <w:r>
              <w:rPr>
                <w:i/>
                <w:spacing w:val="3"/>
                <w:sz w:val="20"/>
              </w:rPr>
              <w:t xml:space="preserve">presente processo administrativo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3"/>
                <w:sz w:val="20"/>
              </w:rPr>
              <w:t xml:space="preserve">pela aplicação </w:t>
            </w:r>
            <w:r>
              <w:rPr>
                <w:i/>
                <w:spacing w:val="2"/>
                <w:sz w:val="20"/>
              </w:rPr>
              <w:t xml:space="preserve">da multa </w:t>
            </w:r>
            <w:r>
              <w:rPr>
                <w:i/>
                <w:spacing w:val="3"/>
                <w:sz w:val="20"/>
              </w:rPr>
              <w:t xml:space="preserve">prevista </w:t>
            </w:r>
            <w:r>
              <w:rPr>
                <w:i/>
                <w:sz w:val="20"/>
              </w:rPr>
              <w:t xml:space="preserve">no </w:t>
            </w:r>
            <w:r>
              <w:rPr>
                <w:i/>
                <w:spacing w:val="2"/>
                <w:sz w:val="20"/>
              </w:rPr>
              <w:t xml:space="preserve">Artigo </w:t>
            </w:r>
            <w:r>
              <w:rPr>
                <w:i/>
                <w:sz w:val="20"/>
              </w:rPr>
              <w:t xml:space="preserve">50 </w:t>
            </w:r>
            <w:r>
              <w:rPr>
                <w:i/>
                <w:spacing w:val="2"/>
                <w:sz w:val="20"/>
              </w:rPr>
              <w:t xml:space="preserve">da </w:t>
            </w:r>
            <w:r>
              <w:rPr>
                <w:i/>
                <w:spacing w:val="3"/>
                <w:sz w:val="20"/>
              </w:rPr>
              <w:t xml:space="preserve">Lei 12.378/2010, </w:t>
            </w:r>
            <w:r>
              <w:rPr>
                <w:i/>
                <w:sz w:val="20"/>
              </w:rPr>
              <w:t xml:space="preserve">e no </w:t>
            </w:r>
            <w:r>
              <w:rPr>
                <w:i/>
                <w:spacing w:val="3"/>
                <w:sz w:val="20"/>
              </w:rPr>
              <w:t xml:space="preserve">Artigo </w:t>
            </w:r>
            <w:r>
              <w:rPr>
                <w:i/>
                <w:spacing w:val="2"/>
                <w:sz w:val="20"/>
              </w:rPr>
              <w:t xml:space="preserve">35, inciso IV, da </w:t>
            </w:r>
            <w:r>
              <w:rPr>
                <w:i/>
                <w:spacing w:val="3"/>
                <w:sz w:val="20"/>
              </w:rPr>
              <w:t xml:space="preserve">Resolução CAU/BR </w:t>
            </w:r>
            <w:r>
              <w:rPr>
                <w:i/>
                <w:spacing w:val="2"/>
                <w:sz w:val="20"/>
              </w:rPr>
              <w:t xml:space="preserve">n. 22, de </w:t>
            </w:r>
            <w:r>
              <w:rPr>
                <w:i/>
                <w:sz w:val="20"/>
              </w:rPr>
              <w:t xml:space="preserve">04 de </w:t>
            </w:r>
            <w:r>
              <w:rPr>
                <w:i/>
                <w:spacing w:val="2"/>
                <w:sz w:val="20"/>
              </w:rPr>
              <w:t xml:space="preserve">maio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2"/>
                <w:sz w:val="20"/>
              </w:rPr>
              <w:t xml:space="preserve">2012, </w:t>
            </w:r>
            <w:r>
              <w:rPr>
                <w:i/>
                <w:spacing w:val="4"/>
                <w:sz w:val="20"/>
              </w:rPr>
              <w:t xml:space="preserve">de </w:t>
            </w:r>
            <w:r>
              <w:rPr>
                <w:i/>
                <w:spacing w:val="2"/>
                <w:sz w:val="20"/>
              </w:rPr>
              <w:t xml:space="preserve">300% </w:t>
            </w:r>
            <w:r>
              <w:rPr>
                <w:i/>
                <w:spacing w:val="3"/>
                <w:sz w:val="20"/>
              </w:rPr>
              <w:t xml:space="preserve">(trezentos </w:t>
            </w:r>
            <w:r>
              <w:rPr>
                <w:i/>
                <w:spacing w:val="2"/>
                <w:sz w:val="20"/>
              </w:rPr>
              <w:t xml:space="preserve">por </w:t>
            </w:r>
            <w:r>
              <w:rPr>
                <w:i/>
                <w:spacing w:val="3"/>
                <w:sz w:val="20"/>
              </w:rPr>
              <w:t xml:space="preserve">cento) </w:t>
            </w:r>
            <w:r>
              <w:rPr>
                <w:i/>
                <w:spacing w:val="2"/>
                <w:sz w:val="20"/>
              </w:rPr>
              <w:t xml:space="preserve">sobre </w:t>
            </w:r>
            <w:r>
              <w:rPr>
                <w:i/>
                <w:sz w:val="20"/>
              </w:rPr>
              <w:t xml:space="preserve">o </w:t>
            </w:r>
            <w:r>
              <w:rPr>
                <w:i/>
                <w:spacing w:val="3"/>
                <w:sz w:val="20"/>
              </w:rPr>
              <w:t xml:space="preserve">valor </w:t>
            </w:r>
            <w:r>
              <w:rPr>
                <w:i/>
                <w:sz w:val="20"/>
              </w:rPr>
              <w:t xml:space="preserve">da </w:t>
            </w:r>
            <w:r>
              <w:rPr>
                <w:i/>
                <w:spacing w:val="2"/>
                <w:sz w:val="20"/>
              </w:rPr>
              <w:t xml:space="preserve">Taxa de RRT não paga, </w:t>
            </w:r>
            <w:r>
              <w:rPr>
                <w:i/>
                <w:spacing w:val="3"/>
                <w:sz w:val="20"/>
              </w:rPr>
              <w:t xml:space="preserve">corrigida, 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3"/>
                <w:sz w:val="20"/>
              </w:rPr>
              <w:t xml:space="preserve">partir </w:t>
            </w:r>
            <w:r>
              <w:rPr>
                <w:i/>
                <w:spacing w:val="2"/>
                <w:sz w:val="20"/>
              </w:rPr>
              <w:t xml:space="preserve">da </w:t>
            </w:r>
            <w:r>
              <w:rPr>
                <w:i/>
                <w:spacing w:val="3"/>
                <w:sz w:val="20"/>
              </w:rPr>
              <w:t xml:space="preserve">autuação, </w:t>
            </w:r>
            <w:r>
              <w:rPr>
                <w:i/>
                <w:spacing w:val="2"/>
                <w:sz w:val="20"/>
              </w:rPr>
              <w:t xml:space="preserve">com base </w:t>
            </w:r>
            <w:r>
              <w:rPr>
                <w:i/>
                <w:sz w:val="20"/>
              </w:rPr>
              <w:t xml:space="preserve">na </w:t>
            </w:r>
            <w:r>
              <w:rPr>
                <w:i/>
                <w:spacing w:val="2"/>
                <w:sz w:val="20"/>
              </w:rPr>
              <w:t xml:space="preserve">variação </w:t>
            </w:r>
            <w:r>
              <w:rPr>
                <w:i/>
                <w:sz w:val="20"/>
              </w:rPr>
              <w:t xml:space="preserve">da Taxa </w:t>
            </w:r>
            <w:r>
              <w:rPr>
                <w:i/>
                <w:spacing w:val="3"/>
                <w:sz w:val="20"/>
              </w:rPr>
              <w:t xml:space="preserve">referencial </w:t>
            </w:r>
            <w:r>
              <w:rPr>
                <w:i/>
                <w:sz w:val="20"/>
              </w:rPr>
              <w:t xml:space="preserve">do </w:t>
            </w:r>
            <w:r>
              <w:rPr>
                <w:i/>
                <w:spacing w:val="3"/>
                <w:sz w:val="20"/>
              </w:rPr>
              <w:t xml:space="preserve">Sistema Especial </w:t>
            </w:r>
            <w:r>
              <w:rPr>
                <w:i/>
                <w:spacing w:val="2"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Liquidação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2"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Custódia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pacing w:val="3"/>
                <w:sz w:val="20"/>
              </w:rPr>
              <w:t xml:space="preserve">SELIC, </w:t>
            </w:r>
            <w:r>
              <w:rPr>
                <w:i/>
                <w:spacing w:val="2"/>
                <w:sz w:val="20"/>
              </w:rPr>
              <w:t xml:space="preserve">acumulada </w:t>
            </w:r>
            <w:r>
              <w:rPr>
                <w:i/>
                <w:spacing w:val="3"/>
                <w:sz w:val="20"/>
              </w:rPr>
              <w:t xml:space="preserve">mensalmente, </w:t>
            </w:r>
            <w:r>
              <w:rPr>
                <w:i/>
                <w:spacing w:val="2"/>
                <w:sz w:val="20"/>
              </w:rPr>
              <w:t xml:space="preserve">até </w:t>
            </w:r>
            <w:r>
              <w:rPr>
                <w:i/>
                <w:sz w:val="20"/>
              </w:rPr>
              <w:t xml:space="preserve">o </w:t>
            </w:r>
            <w:r>
              <w:rPr>
                <w:i/>
                <w:spacing w:val="2"/>
                <w:sz w:val="20"/>
              </w:rPr>
              <w:t xml:space="preserve">último </w:t>
            </w:r>
            <w:r>
              <w:rPr>
                <w:i/>
                <w:spacing w:val="3"/>
                <w:sz w:val="20"/>
              </w:rPr>
              <w:t xml:space="preserve">dia </w:t>
            </w:r>
            <w:r>
              <w:rPr>
                <w:i/>
                <w:spacing w:val="2"/>
                <w:sz w:val="20"/>
              </w:rPr>
              <w:t xml:space="preserve">do mês </w:t>
            </w:r>
            <w:r>
              <w:rPr>
                <w:i/>
                <w:spacing w:val="3"/>
                <w:sz w:val="20"/>
              </w:rPr>
              <w:t>ant</w:t>
            </w:r>
            <w:r>
              <w:rPr>
                <w:i/>
                <w:spacing w:val="3"/>
                <w:sz w:val="20"/>
              </w:rPr>
              <w:t xml:space="preserve">erior </w:t>
            </w:r>
            <w:r>
              <w:rPr>
                <w:i/>
                <w:spacing w:val="8"/>
                <w:sz w:val="20"/>
              </w:rPr>
              <w:t xml:space="preserve">ao </w:t>
            </w:r>
            <w:r>
              <w:rPr>
                <w:i/>
                <w:spacing w:val="2"/>
                <w:sz w:val="20"/>
              </w:rPr>
              <w:t xml:space="preserve">da </w:t>
            </w:r>
            <w:r>
              <w:rPr>
                <w:i/>
                <w:spacing w:val="3"/>
                <w:sz w:val="20"/>
              </w:rPr>
              <w:t xml:space="preserve">devolução dos recursos, acrescido </w:t>
            </w:r>
            <w:r>
              <w:rPr>
                <w:i/>
                <w:spacing w:val="2"/>
                <w:sz w:val="20"/>
              </w:rPr>
              <w:t xml:space="preserve">este </w:t>
            </w:r>
            <w:r>
              <w:rPr>
                <w:i/>
                <w:spacing w:val="3"/>
                <w:sz w:val="20"/>
              </w:rPr>
              <w:t xml:space="preserve">montante </w:t>
            </w:r>
            <w:r>
              <w:rPr>
                <w:i/>
                <w:spacing w:val="2"/>
                <w:sz w:val="20"/>
              </w:rPr>
              <w:t xml:space="preserve">de </w:t>
            </w:r>
            <w:r>
              <w:rPr>
                <w:i/>
                <w:sz w:val="20"/>
              </w:rPr>
              <w:t xml:space="preserve">1% </w:t>
            </w:r>
            <w:r>
              <w:rPr>
                <w:i/>
                <w:spacing w:val="2"/>
                <w:sz w:val="20"/>
              </w:rPr>
              <w:t xml:space="preserve">(um por </w:t>
            </w:r>
            <w:r>
              <w:rPr>
                <w:i/>
                <w:spacing w:val="3"/>
                <w:sz w:val="20"/>
              </w:rPr>
              <w:t xml:space="preserve">cento) </w:t>
            </w:r>
            <w:r>
              <w:rPr>
                <w:i/>
                <w:sz w:val="20"/>
              </w:rPr>
              <w:t xml:space="preserve">no </w:t>
            </w:r>
            <w:r>
              <w:rPr>
                <w:i/>
                <w:spacing w:val="2"/>
                <w:sz w:val="20"/>
              </w:rPr>
              <w:t xml:space="preserve">mês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efetivação </w:t>
            </w:r>
            <w:r>
              <w:rPr>
                <w:i/>
                <w:sz w:val="20"/>
              </w:rPr>
              <w:t xml:space="preserve">do </w:t>
            </w:r>
            <w:r>
              <w:rPr>
                <w:i/>
                <w:spacing w:val="3"/>
                <w:sz w:val="20"/>
              </w:rPr>
              <w:t xml:space="preserve">pagamento,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3"/>
                <w:sz w:val="20"/>
              </w:rPr>
              <w:t xml:space="preserve">pelo encaminhamento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cópia </w:t>
            </w:r>
            <w:r>
              <w:rPr>
                <w:i/>
                <w:spacing w:val="2"/>
                <w:sz w:val="20"/>
              </w:rPr>
              <w:t xml:space="preserve">dos </w:t>
            </w:r>
            <w:r>
              <w:rPr>
                <w:i/>
                <w:spacing w:val="3"/>
                <w:sz w:val="20"/>
              </w:rPr>
              <w:t xml:space="preserve">presentes </w:t>
            </w:r>
            <w:r>
              <w:rPr>
                <w:i/>
                <w:spacing w:val="2"/>
                <w:sz w:val="20"/>
              </w:rPr>
              <w:t xml:space="preserve">autos </w:t>
            </w:r>
            <w:r>
              <w:rPr>
                <w:i/>
                <w:sz w:val="20"/>
              </w:rPr>
              <w:t xml:space="preserve">à </w:t>
            </w:r>
            <w:r>
              <w:rPr>
                <w:i/>
                <w:spacing w:val="2"/>
                <w:sz w:val="20"/>
              </w:rPr>
              <w:t xml:space="preserve">Comissão </w:t>
            </w:r>
            <w:r>
              <w:rPr>
                <w:i/>
                <w:sz w:val="20"/>
              </w:rPr>
              <w:t xml:space="preserve">de </w:t>
            </w:r>
            <w:r>
              <w:rPr>
                <w:i/>
                <w:spacing w:val="3"/>
                <w:sz w:val="20"/>
              </w:rPr>
              <w:t xml:space="preserve">Ética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3"/>
                <w:sz w:val="20"/>
              </w:rPr>
              <w:t xml:space="preserve">Disciplina, </w:t>
            </w:r>
            <w:r>
              <w:rPr>
                <w:i/>
                <w:spacing w:val="2"/>
                <w:sz w:val="20"/>
              </w:rPr>
              <w:t xml:space="preserve">CED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pacing w:val="3"/>
                <w:sz w:val="20"/>
              </w:rPr>
              <w:t xml:space="preserve">CAU/MS, </w:t>
            </w:r>
            <w:r>
              <w:rPr>
                <w:i/>
                <w:spacing w:val="2"/>
                <w:sz w:val="20"/>
              </w:rPr>
              <w:t xml:space="preserve">nos termos </w:t>
            </w:r>
            <w:r>
              <w:rPr>
                <w:i/>
                <w:sz w:val="20"/>
              </w:rPr>
              <w:t xml:space="preserve">do </w:t>
            </w:r>
            <w:r>
              <w:rPr>
                <w:i/>
                <w:spacing w:val="2"/>
                <w:sz w:val="20"/>
              </w:rPr>
              <w:t xml:space="preserve">que </w:t>
            </w:r>
            <w:r>
              <w:rPr>
                <w:i/>
                <w:spacing w:val="3"/>
                <w:sz w:val="20"/>
              </w:rPr>
              <w:t xml:space="preserve">dispõe </w:t>
            </w:r>
            <w:r>
              <w:rPr>
                <w:i/>
                <w:sz w:val="20"/>
              </w:rPr>
              <w:t xml:space="preserve">o </w:t>
            </w:r>
            <w:r>
              <w:rPr>
                <w:i/>
                <w:spacing w:val="2"/>
                <w:sz w:val="20"/>
              </w:rPr>
              <w:t xml:space="preserve">artigo 12, </w:t>
            </w:r>
            <w:r>
              <w:rPr>
                <w:i/>
                <w:sz w:val="20"/>
              </w:rPr>
              <w:t xml:space="preserve">e </w:t>
            </w:r>
            <w:r>
              <w:rPr>
                <w:i/>
                <w:spacing w:val="3"/>
                <w:sz w:val="20"/>
              </w:rPr>
              <w:t xml:space="preserve">incisos </w:t>
            </w:r>
            <w:r>
              <w:rPr>
                <w:rFonts w:ascii="Arial" w:hAnsi="Arial"/>
                <w:i/>
                <w:spacing w:val="2"/>
                <w:sz w:val="20"/>
              </w:rPr>
              <w:t>da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3"/>
                <w:sz w:val="20"/>
              </w:rPr>
              <w:t>Resolução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3"/>
                <w:sz w:val="20"/>
              </w:rPr>
              <w:t>CAU/BR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Nº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"/>
                <w:sz w:val="20"/>
              </w:rPr>
              <w:t>143,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"/>
                <w:sz w:val="20"/>
              </w:rPr>
              <w:t>de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23</w:t>
            </w:r>
            <w:r>
              <w:rPr>
                <w:rFonts w:ascii="Arial" w:hAns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"/>
                <w:sz w:val="20"/>
              </w:rPr>
              <w:t>de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"/>
                <w:sz w:val="20"/>
              </w:rPr>
              <w:t>junho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3"/>
                <w:sz w:val="20"/>
              </w:rPr>
              <w:t>2017.”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tabs>
                <w:tab w:val="left" w:pos="809"/>
              </w:tabs>
              <w:spacing w:before="73"/>
              <w:ind w:left="44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w w:val="105"/>
                <w:sz w:val="20"/>
              </w:rPr>
              <w:tab/>
            </w:r>
            <w:r>
              <w:rPr>
                <w:spacing w:val="3"/>
                <w:w w:val="105"/>
                <w:sz w:val="20"/>
              </w:rPr>
              <w:t xml:space="preserve">Aprovação </w:t>
            </w:r>
            <w:r>
              <w:rPr>
                <w:w w:val="105"/>
                <w:sz w:val="20"/>
              </w:rPr>
              <w:t xml:space="preserve">da </w:t>
            </w:r>
            <w:r>
              <w:rPr>
                <w:b/>
                <w:spacing w:val="3"/>
                <w:w w:val="105"/>
                <w:sz w:val="20"/>
              </w:rPr>
              <w:t xml:space="preserve">Deliberação </w:t>
            </w:r>
            <w:r>
              <w:rPr>
                <w:b/>
                <w:w w:val="105"/>
                <w:sz w:val="20"/>
              </w:rPr>
              <w:t xml:space="preserve">nº </w:t>
            </w:r>
            <w:r>
              <w:rPr>
                <w:b/>
                <w:spacing w:val="2"/>
                <w:w w:val="105"/>
                <w:sz w:val="20"/>
              </w:rPr>
              <w:t xml:space="preserve">439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spacing w:val="2"/>
                <w:w w:val="105"/>
                <w:sz w:val="20"/>
              </w:rPr>
              <w:t>80ª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3"/>
                <w:w w:val="105"/>
                <w:sz w:val="20"/>
              </w:rPr>
              <w:t>CEP/MS;</w:t>
            </w:r>
          </w:p>
        </w:tc>
      </w:tr>
    </w:tbl>
    <w:p w:rsidR="0026115C" w:rsidRDefault="0026115C">
      <w:pPr>
        <w:spacing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637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 xml:space="preserve">Processo Administrativo (Ausência de RRT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Vistoria e Laudo Técnico) nº 1012017/2019 ;</w:t>
            </w:r>
          </w:p>
        </w:tc>
      </w:tr>
      <w:tr w:rsidR="0026115C">
        <w:trPr>
          <w:trHeight w:val="390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Vinícius David Charro</w:t>
            </w:r>
          </w:p>
        </w:tc>
      </w:tr>
      <w:tr w:rsidR="0026115C">
        <w:trPr>
          <w:trHeight w:val="2713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5"/>
              <w:ind w:left="88" w:right="70"/>
              <w:jc w:val="both"/>
              <w:rPr>
                <w:i/>
                <w:sz w:val="20"/>
              </w:rPr>
            </w:pPr>
            <w:r>
              <w:rPr>
                <w:rFonts w:ascii="Arial" w:hAnsi="Arial"/>
                <w:i/>
                <w:color w:val="333333"/>
                <w:sz w:val="20"/>
              </w:rPr>
              <w:t>“</w:t>
            </w:r>
            <w:r>
              <w:rPr>
                <w:i/>
                <w:color w:val="333333"/>
                <w:sz w:val="20"/>
              </w:rPr>
              <w:t>Aprovar</w:t>
            </w:r>
            <w:r>
              <w:rPr>
                <w:i/>
                <w:color w:val="333333"/>
                <w:spacing w:val="-23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o</w:t>
            </w:r>
            <w:r>
              <w:rPr>
                <w:i/>
                <w:color w:val="333333"/>
                <w:spacing w:val="-2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parecer</w:t>
            </w:r>
            <w:r>
              <w:rPr>
                <w:i/>
                <w:color w:val="333333"/>
                <w:spacing w:val="-23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exarado</w:t>
            </w:r>
            <w:r>
              <w:rPr>
                <w:i/>
                <w:color w:val="333333"/>
                <w:spacing w:val="-22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pelo</w:t>
            </w:r>
            <w:r>
              <w:rPr>
                <w:i/>
                <w:color w:val="333333"/>
                <w:spacing w:val="-1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Suplente</w:t>
            </w:r>
            <w:r>
              <w:rPr>
                <w:i/>
                <w:color w:val="333333"/>
                <w:spacing w:val="-22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de</w:t>
            </w:r>
            <w:r>
              <w:rPr>
                <w:i/>
                <w:color w:val="333333"/>
                <w:spacing w:val="-2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Co</w:t>
            </w:r>
            <w:r>
              <w:rPr>
                <w:rFonts w:ascii="Arial" w:hAnsi="Arial"/>
                <w:i/>
                <w:color w:val="333333"/>
                <w:sz w:val="20"/>
              </w:rPr>
              <w:t>nselheiro</w:t>
            </w:r>
            <w:r>
              <w:rPr>
                <w:rFonts w:ascii="Arial" w:hAnsi="Arial"/>
                <w:i/>
                <w:color w:val="333333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Vinícius</w:t>
            </w:r>
            <w:r>
              <w:rPr>
                <w:rFonts w:ascii="Arial" w:hAnsi="Arial"/>
                <w:i/>
                <w:color w:val="333333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David</w:t>
            </w:r>
            <w:r>
              <w:rPr>
                <w:rFonts w:ascii="Arial" w:hAnsi="Arial"/>
                <w:i/>
                <w:color w:val="333333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Charro:</w:t>
            </w:r>
            <w:r>
              <w:rPr>
                <w:rFonts w:ascii="Arial" w:hAnsi="Arial"/>
                <w:i/>
                <w:color w:val="333333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“</w:t>
            </w:r>
            <w:r>
              <w:rPr>
                <w:rFonts w:ascii="Arial" w:hAnsi="Arial"/>
                <w:i/>
                <w:color w:val="333333"/>
                <w:spacing w:val="-3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pela procedência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do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Auto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de</w:t>
            </w:r>
            <w:r>
              <w:rPr>
                <w:i/>
                <w:color w:val="333333"/>
                <w:spacing w:val="-1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Infração</w:t>
            </w:r>
            <w:r>
              <w:rPr>
                <w:i/>
                <w:color w:val="333333"/>
                <w:spacing w:val="-6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(...)</w:t>
            </w:r>
            <w:r>
              <w:rPr>
                <w:i/>
                <w:color w:val="333333"/>
                <w:spacing w:val="-1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em</w:t>
            </w:r>
            <w:r>
              <w:rPr>
                <w:i/>
                <w:color w:val="333333"/>
                <w:spacing w:val="-1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face</w:t>
            </w:r>
            <w:r>
              <w:rPr>
                <w:i/>
                <w:color w:val="333333"/>
                <w:spacing w:val="-1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do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que</w:t>
            </w:r>
            <w:r>
              <w:rPr>
                <w:i/>
                <w:color w:val="333333"/>
                <w:spacing w:val="-12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consta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no</w:t>
            </w:r>
            <w:r>
              <w:rPr>
                <w:i/>
                <w:color w:val="333333"/>
                <w:spacing w:val="-8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processo</w:t>
            </w:r>
            <w:r>
              <w:rPr>
                <w:i/>
                <w:color w:val="333333"/>
                <w:spacing w:val="-8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administrativo e pela aplicação da multa prevista no Artigo 50 da Lei 12.378/2010, e no Artigo 35, inciso IV, da Resolução CAU/BR n. 22, de 04 de maio de 2012, de 300% (trezentos por cento) sobre o valor da Taxa de RRT não paga, corrigida, a partir da autu</w:t>
            </w:r>
            <w:r>
              <w:rPr>
                <w:i/>
                <w:color w:val="333333"/>
                <w:sz w:val="20"/>
              </w:rPr>
              <w:t>ação, com base na variação da Taxa Referencial do Sistema Especial de Liquidação e de</w:t>
            </w:r>
            <w:r>
              <w:rPr>
                <w:i/>
                <w:color w:val="333333"/>
                <w:spacing w:val="-13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Custòdia</w:t>
            </w:r>
          </w:p>
          <w:p w:rsidR="0026115C" w:rsidRDefault="00250CA2">
            <w:pPr>
              <w:pStyle w:val="TableParagraph"/>
              <w:ind w:left="88" w:right="73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333333"/>
                <w:sz w:val="20"/>
              </w:rPr>
              <w:t xml:space="preserve">– </w:t>
            </w:r>
            <w:r>
              <w:rPr>
                <w:i/>
                <w:color w:val="333333"/>
                <w:sz w:val="20"/>
              </w:rPr>
              <w:t xml:space="preserve">SELIC, acumulada mensalmente, até o último dia do mês anterior ao da devolução dos recursos, acrescido este montante de 1% (um por cento) no mês de efetivação </w:t>
            </w:r>
            <w:r>
              <w:rPr>
                <w:i/>
                <w:color w:val="333333"/>
                <w:sz w:val="20"/>
              </w:rPr>
              <w:t>do pagamento,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e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pelo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encaminhamento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de</w:t>
            </w:r>
            <w:r>
              <w:rPr>
                <w:i/>
                <w:color w:val="333333"/>
                <w:spacing w:val="-9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cópia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dos</w:t>
            </w:r>
            <w:r>
              <w:rPr>
                <w:i/>
                <w:color w:val="333333"/>
                <w:spacing w:val="-8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presentes</w:t>
            </w:r>
            <w:r>
              <w:rPr>
                <w:i/>
                <w:color w:val="333333"/>
                <w:spacing w:val="-1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autos</w:t>
            </w:r>
            <w:r>
              <w:rPr>
                <w:i/>
                <w:color w:val="333333"/>
                <w:spacing w:val="-8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à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Comissão</w:t>
            </w:r>
            <w:r>
              <w:rPr>
                <w:i/>
                <w:color w:val="333333"/>
                <w:spacing w:val="-7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de</w:t>
            </w:r>
            <w:r>
              <w:rPr>
                <w:i/>
                <w:color w:val="333333"/>
                <w:spacing w:val="-10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Ética e Disciplina, CED </w:t>
            </w:r>
            <w:r>
              <w:rPr>
                <w:rFonts w:ascii="Arial" w:hAnsi="Arial"/>
                <w:i/>
                <w:color w:val="333333"/>
                <w:sz w:val="20"/>
              </w:rPr>
              <w:t xml:space="preserve">– </w:t>
            </w:r>
            <w:r>
              <w:rPr>
                <w:i/>
                <w:color w:val="333333"/>
                <w:sz w:val="20"/>
              </w:rPr>
              <w:t xml:space="preserve">CAU/MS, nos termos do que dispões o Artigo 12, e incisos da </w:t>
            </w:r>
            <w:r>
              <w:rPr>
                <w:rFonts w:ascii="Arial" w:hAnsi="Arial"/>
                <w:i/>
                <w:color w:val="333333"/>
                <w:sz w:val="20"/>
              </w:rPr>
              <w:t>Resolução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CAU/BR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Nº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143,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de</w:t>
            </w:r>
            <w:r>
              <w:rPr>
                <w:rFonts w:ascii="Arial" w:hAnsi="Arial"/>
                <w:i/>
                <w:color w:val="333333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23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de</w:t>
            </w:r>
            <w:r>
              <w:rPr>
                <w:rFonts w:ascii="Arial" w:hAnsi="Arial"/>
                <w:i/>
                <w:color w:val="333333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junho</w:t>
            </w:r>
            <w:r>
              <w:rPr>
                <w:rFonts w:ascii="Arial" w:hAnsi="Arial"/>
                <w:i/>
                <w:color w:val="333333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de</w:t>
            </w:r>
            <w:r>
              <w:rPr>
                <w:rFonts w:ascii="Arial" w:hAnsi="Arial"/>
                <w:i/>
                <w:color w:val="333333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333333"/>
                <w:sz w:val="20"/>
              </w:rPr>
              <w:t>2017.”</w:t>
            </w:r>
          </w:p>
        </w:tc>
      </w:tr>
      <w:tr w:rsidR="0026115C">
        <w:trPr>
          <w:trHeight w:val="395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tabs>
                <w:tab w:val="left" w:pos="1169"/>
              </w:tabs>
              <w:spacing w:before="76"/>
              <w:ind w:left="80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w w:val="105"/>
                <w:sz w:val="20"/>
              </w:rPr>
              <w:tab/>
            </w:r>
            <w:r>
              <w:rPr>
                <w:spacing w:val="3"/>
                <w:w w:val="105"/>
                <w:sz w:val="20"/>
              </w:rPr>
              <w:t xml:space="preserve">Aprovação das </w:t>
            </w:r>
            <w:r>
              <w:rPr>
                <w:b/>
                <w:spacing w:val="3"/>
                <w:w w:val="105"/>
                <w:sz w:val="20"/>
              </w:rPr>
              <w:t xml:space="preserve">Deliberação </w:t>
            </w:r>
            <w:r>
              <w:rPr>
                <w:b/>
                <w:spacing w:val="2"/>
                <w:w w:val="105"/>
                <w:sz w:val="20"/>
              </w:rPr>
              <w:t xml:space="preserve">nº 440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spacing w:val="2"/>
                <w:w w:val="105"/>
                <w:sz w:val="20"/>
              </w:rPr>
              <w:t>80ª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spacing w:val="3"/>
                <w:w w:val="105"/>
                <w:sz w:val="20"/>
              </w:rPr>
              <w:t>CEP/MS;</w:t>
            </w:r>
          </w:p>
        </w:tc>
      </w:tr>
    </w:tbl>
    <w:p w:rsidR="0026115C" w:rsidRDefault="0026115C">
      <w:pPr>
        <w:spacing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0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Processo Administrativo nº 920733/2019;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1249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6115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5"/>
              <w:ind w:left="88" w:right="6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“Aprovar</w:t>
            </w:r>
            <w:r>
              <w:rPr>
                <w:rFonts w:ascii="Arial" w:hAnsi="Arial"/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o</w:t>
            </w:r>
            <w:r>
              <w:rPr>
                <w:rFonts w:ascii="Arial" w:hAnsi="Arial"/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parecer</w:t>
            </w:r>
            <w:r>
              <w:rPr>
                <w:rFonts w:ascii="Arial" w:hAnsi="Arial"/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do</w:t>
            </w:r>
            <w:r>
              <w:rPr>
                <w:rFonts w:ascii="Arial" w:hAnsi="Arial"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Conselheiro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Estadual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Carlos</w:t>
            </w:r>
            <w:r>
              <w:rPr>
                <w:rFonts w:ascii="Arial" w:hAnsi="Arial"/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Lucas</w:t>
            </w:r>
            <w:r>
              <w:rPr>
                <w:rFonts w:ascii="Arial" w:hAnsi="Arial"/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Mali:</w:t>
            </w:r>
            <w:r>
              <w:rPr>
                <w:rFonts w:ascii="Arial" w:hAnsi="Arial"/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“pelo</w:t>
            </w:r>
            <w:r>
              <w:rPr>
                <w:rFonts w:ascii="Arial" w:hAnsi="Arial"/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arquivamento</w:t>
            </w:r>
            <w:r>
              <w:rPr>
                <w:rFonts w:ascii="Arial" w:hAnsi="Arial"/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da </w:t>
            </w:r>
            <w:r>
              <w:rPr>
                <w:i/>
                <w:sz w:val="20"/>
              </w:rPr>
              <w:t xml:space="preserve">denúncia, considerando que o motivo da inabilitação se deu por exigência técnico- operacional, e não por qualificação técnico-operacional.. O motivo para inabilitação encontra respaldo em entendimento do TCU. Portanto, não há se falar, portanto, em </w:t>
            </w:r>
            <w:r>
              <w:rPr>
                <w:rFonts w:ascii="Arial" w:hAnsi="Arial"/>
                <w:i/>
                <w:sz w:val="20"/>
              </w:rPr>
              <w:t>eventua</w:t>
            </w:r>
            <w:r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violação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à</w:t>
            </w:r>
            <w:r>
              <w:rPr>
                <w:rFonts w:ascii="Arial" w:hAns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prerrogativa</w:t>
            </w:r>
            <w:r>
              <w:rPr>
                <w:rFonts w:ascii="Arial" w:hAns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profissional.”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tabs>
                <w:tab w:val="left" w:pos="809"/>
              </w:tabs>
              <w:spacing w:before="73"/>
              <w:ind w:left="44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w w:val="105"/>
                <w:sz w:val="20"/>
              </w:rPr>
              <w:tab/>
            </w:r>
            <w:r>
              <w:rPr>
                <w:spacing w:val="3"/>
                <w:w w:val="105"/>
                <w:sz w:val="20"/>
              </w:rPr>
              <w:t xml:space="preserve">Aprovação </w:t>
            </w:r>
            <w:r>
              <w:rPr>
                <w:w w:val="105"/>
                <w:sz w:val="20"/>
              </w:rPr>
              <w:t xml:space="preserve">da </w:t>
            </w:r>
            <w:r>
              <w:rPr>
                <w:b/>
                <w:spacing w:val="3"/>
                <w:w w:val="105"/>
                <w:sz w:val="20"/>
              </w:rPr>
              <w:t xml:space="preserve">Deliberação </w:t>
            </w:r>
            <w:r>
              <w:rPr>
                <w:b/>
                <w:w w:val="105"/>
                <w:sz w:val="20"/>
              </w:rPr>
              <w:t xml:space="preserve">nº </w:t>
            </w:r>
            <w:r>
              <w:rPr>
                <w:b/>
                <w:spacing w:val="3"/>
                <w:w w:val="105"/>
                <w:sz w:val="20"/>
              </w:rPr>
              <w:t xml:space="preserve">447/2018-2020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spacing w:val="2"/>
                <w:w w:val="105"/>
                <w:sz w:val="20"/>
              </w:rPr>
              <w:t>80º</w:t>
            </w:r>
            <w:r>
              <w:rPr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b/>
                <w:spacing w:val="3"/>
                <w:w w:val="105"/>
                <w:sz w:val="20"/>
              </w:rPr>
              <w:t>CEP/MS</w:t>
            </w:r>
          </w:p>
        </w:tc>
      </w:tr>
    </w:tbl>
    <w:p w:rsidR="0026115C" w:rsidRDefault="0026115C">
      <w:pPr>
        <w:spacing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Processo Administrativo nº 939713/2019;</w:t>
            </w:r>
          </w:p>
        </w:tc>
      </w:tr>
    </w:tbl>
    <w:p w:rsidR="0026115C" w:rsidRDefault="0026115C">
      <w:pPr>
        <w:rPr>
          <w:sz w:val="20"/>
        </w:rPr>
        <w:sectPr w:rsidR="0026115C">
          <w:pgSz w:w="11900" w:h="16850"/>
          <w:pgMar w:top="2260" w:right="960" w:bottom="680" w:left="1400" w:header="1599" w:footer="491" w:gutter="0"/>
          <w:cols w:space="720"/>
        </w:sectPr>
      </w:pPr>
    </w:p>
    <w:p w:rsidR="0026115C" w:rsidRDefault="0026115C">
      <w:pPr>
        <w:spacing w:before="5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100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50CA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3"/>
              <w:ind w:left="88" w:righ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Aprovar o parecer do Conselheiro Estadual Carlos Lucas Mali,</w:t>
            </w:r>
            <w:r>
              <w:rPr>
                <w:rFonts w:ascii="Arial" w:hAnsi="Arial"/>
                <w:i/>
                <w:sz w:val="20"/>
              </w:rPr>
              <w:t xml:space="preserve">” </w:t>
            </w:r>
            <w:r>
              <w:rPr>
                <w:i/>
                <w:sz w:val="20"/>
              </w:rPr>
              <w:t xml:space="preserve">sou pela Denúncia via SICCAU nº 22882, com a consequente extinção e arquivamento do Processo Administrativo (Protocolo nº 939713/2019)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z w:val="20"/>
              </w:rPr>
              <w:t xml:space="preserve">Denúncia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z w:val="20"/>
              </w:rPr>
              <w:t>em razão da ausência de</w:t>
            </w:r>
          </w:p>
          <w:p w:rsidR="0026115C" w:rsidRDefault="00250CA2">
            <w:pPr>
              <w:pStyle w:val="TableParagraph"/>
              <w:spacing w:line="239" w:lineRule="exact"/>
              <w:ind w:left="88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i/>
                <w:sz w:val="20"/>
              </w:rPr>
              <w:t xml:space="preserve">elementos </w:t>
            </w:r>
            <w:r>
              <w:rPr>
                <w:rFonts w:ascii="Arial" w:hAnsi="Arial"/>
                <w:i/>
                <w:sz w:val="20"/>
              </w:rPr>
              <w:t>indicativos da infração.”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Aprovação da </w:t>
            </w:r>
            <w:r>
              <w:rPr>
                <w:b/>
                <w:w w:val="105"/>
                <w:sz w:val="20"/>
              </w:rPr>
              <w:t xml:space="preserve">Deliberação nº 448/2018-2020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80º CEP/MS</w:t>
            </w:r>
          </w:p>
        </w:tc>
      </w:tr>
    </w:tbl>
    <w:p w:rsidR="0026115C" w:rsidRDefault="0026115C">
      <w:pPr>
        <w:rPr>
          <w:sz w:val="20"/>
        </w:rPr>
      </w:pPr>
    </w:p>
    <w:p w:rsidR="0026115C" w:rsidRDefault="0026115C">
      <w:pPr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 xml:space="preserve">Ofício nº 096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CAU/BR recebido do CAU/BR;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100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20"/>
              </w:rPr>
            </w:pPr>
          </w:p>
          <w:p w:rsidR="0026115C" w:rsidRDefault="00250CA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3"/>
              <w:ind w:left="88"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Foi discutido a respeito do Ofício nº 096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z w:val="20"/>
              </w:rPr>
              <w:t>13/2019 - CAU/BR a respeito do Roteiro Orientativo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elaboração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auditorias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RRTs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elaboração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Relatório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Modelo padrão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encaminha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aos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CAUs;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Foi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encaminhado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Assessoria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Jurídica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deliberar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:rsidR="0026115C" w:rsidRDefault="00250CA2">
            <w:pPr>
              <w:pStyle w:val="TableParagraph"/>
              <w:spacing w:line="239" w:lineRule="exact"/>
              <w:ind w:lef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forma contrária para ser apresentada ao CAU/BR a respeito.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Para conhecimento. Foi encaminhado à Assessoria Jurídica para deliberação.</w:t>
            </w:r>
          </w:p>
        </w:tc>
      </w:tr>
    </w:tbl>
    <w:p w:rsidR="0026115C" w:rsidRDefault="0026115C">
      <w:pPr>
        <w:rPr>
          <w:sz w:val="20"/>
        </w:rPr>
      </w:pPr>
    </w:p>
    <w:p w:rsidR="0026115C" w:rsidRDefault="0026115C">
      <w:pPr>
        <w:spacing w:before="9" w:after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63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 xml:space="preserve">Convite para o 1º Encontro Temático da CEP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CAU/BR com os CAU/UF, programado para os dias 17 e 18 de março de 2020, em Brasília/DF.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759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3" w:line="240" w:lineRule="atLeast"/>
              <w:ind w:left="88" w:right="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Foi discutido a respeito da participação do Conselheiro Carlos Lucas Mali e da gerente </w:t>
            </w:r>
            <w:r>
              <w:rPr>
                <w:i/>
                <w:sz w:val="20"/>
              </w:rPr>
              <w:t xml:space="preserve">de fiscalização no 1º Encontro Temático da CEP </w:t>
            </w:r>
            <w:r>
              <w:rPr>
                <w:rFonts w:ascii="Arial" w:hAnsi="Arial"/>
                <w:i/>
                <w:sz w:val="20"/>
              </w:rPr>
              <w:t xml:space="preserve">– </w:t>
            </w:r>
            <w:r>
              <w:rPr>
                <w:i/>
                <w:sz w:val="20"/>
              </w:rPr>
              <w:t>CAU/BR com os CAU/UF, e as sugestões de temas pertinentes ao evento.</w:t>
            </w:r>
          </w:p>
        </w:tc>
      </w:tr>
      <w:tr w:rsidR="0026115C">
        <w:trPr>
          <w:trHeight w:val="39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Assunto a ser discutido na 81 ª Reunião da CEP.</w:t>
            </w:r>
          </w:p>
        </w:tc>
      </w:tr>
    </w:tbl>
    <w:p w:rsidR="0026115C" w:rsidRDefault="0026115C">
      <w:pPr>
        <w:rPr>
          <w:sz w:val="20"/>
        </w:rPr>
      </w:pPr>
    </w:p>
    <w:p w:rsidR="0026115C" w:rsidRDefault="0026115C">
      <w:pPr>
        <w:rPr>
          <w:sz w:val="20"/>
        </w:rPr>
      </w:pPr>
    </w:p>
    <w:p w:rsidR="0026115C" w:rsidRDefault="0026115C">
      <w:pPr>
        <w:rPr>
          <w:sz w:val="20"/>
        </w:rPr>
      </w:pPr>
    </w:p>
    <w:p w:rsidR="0026115C" w:rsidRDefault="0026115C">
      <w:pPr>
        <w:spacing w:before="4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637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 xml:space="preserve">Definição das datas dos eventos da Comissão de Exercício Profissional para o calendário a ser aprovado na próxima Reunião Plenária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CAU/MS, em 20/02/2020.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51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3" w:line="240" w:lineRule="atLeast"/>
              <w:ind w:left="88"/>
              <w:rPr>
                <w:sz w:val="20"/>
              </w:rPr>
            </w:pPr>
            <w:r>
              <w:rPr>
                <w:sz w:val="20"/>
              </w:rPr>
              <w:t xml:space="preserve">Foram definidas as datas dos eventos da CEP para o calendário a ser aprovado na próxima Reunião Plenária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CAU/MS, em 20/02/2020.</w:t>
            </w:r>
          </w:p>
        </w:tc>
      </w:tr>
      <w:tr w:rsidR="0026115C">
        <w:trPr>
          <w:trHeight w:val="394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Sem encaminhamentos. Calendário aprovado.</w:t>
            </w:r>
          </w:p>
        </w:tc>
      </w:tr>
    </w:tbl>
    <w:p w:rsidR="0026115C" w:rsidRDefault="0026115C">
      <w:pPr>
        <w:rPr>
          <w:sz w:val="20"/>
        </w:rPr>
        <w:sectPr w:rsidR="0026115C">
          <w:pgSz w:w="11900" w:h="16850"/>
          <w:pgMar w:top="2260" w:right="960" w:bottom="680" w:left="1400" w:header="1599" w:footer="491" w:gutter="0"/>
          <w:cols w:space="720"/>
        </w:sectPr>
      </w:pPr>
    </w:p>
    <w:p w:rsidR="0026115C" w:rsidRDefault="0026115C">
      <w:pPr>
        <w:spacing w:before="7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32"/>
      </w:tblGrid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Processos para Interrupçãp de Registro Profissional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</w:tr>
      <w:tr w:rsidR="0026115C">
        <w:trPr>
          <w:trHeight w:val="392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RELATOR (A)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/>
              <w:rPr>
                <w:sz w:val="20"/>
              </w:rPr>
            </w:pPr>
            <w:r>
              <w:rPr>
                <w:sz w:val="20"/>
              </w:rPr>
              <w:t>Carlos Lucas Mali</w:t>
            </w:r>
          </w:p>
        </w:tc>
      </w:tr>
      <w:tr w:rsidR="0026115C">
        <w:trPr>
          <w:trHeight w:val="517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50CA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DISCUSSÃO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13" w:line="240" w:lineRule="atLeast"/>
              <w:ind w:left="88"/>
              <w:rPr>
                <w:sz w:val="20"/>
              </w:rPr>
            </w:pPr>
            <w:r>
              <w:rPr>
                <w:sz w:val="20"/>
              </w:rPr>
              <w:t>Foram discutidos os processos que foram para interrupção de registro profissional, a respeito dos possíveis motivos para a solicitação de interrupção.</w:t>
            </w:r>
          </w:p>
        </w:tc>
      </w:tr>
      <w:tr w:rsidR="0026115C">
        <w:trPr>
          <w:trHeight w:val="637"/>
        </w:trPr>
        <w:tc>
          <w:tcPr>
            <w:tcW w:w="215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:rsidR="0026115C" w:rsidRDefault="0026115C">
            <w:pPr>
              <w:pStyle w:val="TableParagraph"/>
              <w:ind w:left="0"/>
              <w:rPr>
                <w:sz w:val="16"/>
              </w:rPr>
            </w:pPr>
          </w:p>
          <w:p w:rsidR="0026115C" w:rsidRDefault="00250C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ENCAMINHAMENTO</w:t>
            </w:r>
          </w:p>
        </w:tc>
        <w:tc>
          <w:tcPr>
            <w:tcW w:w="7132" w:type="dxa"/>
            <w:tcBorders>
              <w:left w:val="single" w:sz="4" w:space="0" w:color="C0C0C0"/>
              <w:right w:val="single" w:sz="4" w:space="0" w:color="C0C0C0"/>
            </w:tcBorders>
          </w:tcPr>
          <w:p w:rsidR="0026115C" w:rsidRDefault="00250CA2">
            <w:pPr>
              <w:pStyle w:val="TableParagraph"/>
              <w:spacing w:before="73"/>
              <w:ind w:left="88" w:right="106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Encaminhadas </w:t>
            </w:r>
            <w:r>
              <w:rPr>
                <w:sz w:val="20"/>
              </w:rPr>
              <w:t xml:space="preserve">CIs </w:t>
            </w:r>
            <w:r>
              <w:rPr>
                <w:spacing w:val="2"/>
                <w:sz w:val="20"/>
              </w:rPr>
              <w:t xml:space="preserve">aos setores de </w:t>
            </w:r>
            <w:r>
              <w:rPr>
                <w:spacing w:val="3"/>
                <w:sz w:val="20"/>
              </w:rPr>
              <w:t xml:space="preserve">Atendimento </w:t>
            </w:r>
            <w:r>
              <w:rPr>
                <w:sz w:val="20"/>
              </w:rPr>
              <w:t xml:space="preserve">e </w:t>
            </w:r>
            <w:r>
              <w:rPr>
                <w:spacing w:val="3"/>
                <w:sz w:val="20"/>
              </w:rPr>
              <w:t xml:space="preserve">Fiscalização para levantamento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dados </w:t>
            </w:r>
            <w:r>
              <w:rPr>
                <w:sz w:val="20"/>
              </w:rPr>
              <w:t xml:space="preserve">a </w:t>
            </w:r>
            <w:r>
              <w:rPr>
                <w:spacing w:val="3"/>
                <w:sz w:val="20"/>
              </w:rPr>
              <w:t xml:space="preserve">respeito </w:t>
            </w:r>
            <w:r>
              <w:rPr>
                <w:spacing w:val="2"/>
                <w:sz w:val="20"/>
              </w:rPr>
              <w:t xml:space="preserve">dos </w:t>
            </w:r>
            <w:r>
              <w:rPr>
                <w:spacing w:val="3"/>
                <w:sz w:val="20"/>
              </w:rPr>
              <w:t xml:space="preserve">pedidos </w:t>
            </w:r>
            <w:r>
              <w:rPr>
                <w:spacing w:val="2"/>
                <w:sz w:val="20"/>
              </w:rPr>
              <w:t xml:space="preserve">de </w:t>
            </w:r>
            <w:r>
              <w:rPr>
                <w:spacing w:val="3"/>
                <w:sz w:val="20"/>
              </w:rPr>
              <w:t xml:space="preserve">Interrupção </w:t>
            </w:r>
            <w:r>
              <w:rPr>
                <w:spacing w:val="2"/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Registro.</w:t>
            </w:r>
          </w:p>
        </w:tc>
      </w:tr>
    </w:tbl>
    <w:p w:rsidR="0026115C" w:rsidRDefault="0026115C">
      <w:pPr>
        <w:rPr>
          <w:sz w:val="20"/>
        </w:rPr>
      </w:pPr>
    </w:p>
    <w:p w:rsidR="0026115C" w:rsidRDefault="0026115C">
      <w:pPr>
        <w:rPr>
          <w:sz w:val="20"/>
        </w:rPr>
      </w:pPr>
    </w:p>
    <w:p w:rsidR="00250CA2" w:rsidRDefault="00250CA2" w:rsidP="00250CA2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09 de junho de 2020.</w:t>
      </w:r>
    </w:p>
    <w:p w:rsidR="00250CA2" w:rsidRDefault="00250CA2" w:rsidP="00250CA2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  <w:p w:rsidR="00250CA2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0CA2" w:rsidRPr="00E31D77" w:rsidRDefault="00250CA2" w:rsidP="00250CA2">
      <w:pPr>
        <w:tabs>
          <w:tab w:val="left" w:pos="0"/>
        </w:tabs>
        <w:ind w:left="708" w:right="-1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permStart w:id="338899130" w:edGrp="everyone"/>
      <w:r>
        <w:rPr>
          <w:rFonts w:ascii="Calibri" w:eastAsia="Calibri" w:hAnsi="Calibri" w:cs="Calibri"/>
          <w:b/>
          <w:bCs/>
          <w:i/>
          <w:iCs/>
          <w:u w:val="single"/>
        </w:rPr>
        <w:t>KEILA FERNANDES</w:t>
      </w:r>
    </w:p>
    <w:p w:rsidR="00250CA2" w:rsidRDefault="00250CA2" w:rsidP="00250CA2">
      <w:pPr>
        <w:tabs>
          <w:tab w:val="left" w:pos="7155"/>
        </w:tabs>
        <w:ind w:left="708"/>
        <w:jc w:val="center"/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16"/>
        </w:rPr>
        <w:t>SECRETÁRIA GERAL</w:t>
      </w:r>
      <w:r w:rsidRPr="00253832">
        <w:rPr>
          <w:rFonts w:ascii="Calibri" w:eastAsia="Times New Roman" w:hAnsi="Calibri"/>
          <w:sz w:val="16"/>
        </w:rPr>
        <w:t xml:space="preserve"> </w:t>
      </w:r>
      <w:permEnd w:id="338899130"/>
      <w:r w:rsidRPr="00253832">
        <w:rPr>
          <w:rFonts w:ascii="Calibri" w:eastAsia="Times New Roman" w:hAnsi="Calibri"/>
          <w:sz w:val="16"/>
        </w:rPr>
        <w:t>- CONSELHO DE ARQUITETURA E</w:t>
      </w:r>
    </w:p>
    <w:p w:rsidR="00250CA2" w:rsidRDefault="00250CA2" w:rsidP="00250CA2">
      <w:pPr>
        <w:tabs>
          <w:tab w:val="left" w:pos="7155"/>
        </w:tabs>
        <w:ind w:left="708"/>
        <w:jc w:val="center"/>
        <w:rPr>
          <w:rFonts w:ascii="Arial" w:hAnsi="Arial" w:cs="Arial"/>
          <w:sz w:val="20"/>
          <w:szCs w:val="20"/>
        </w:rPr>
      </w:pPr>
      <w:r w:rsidRPr="00253832">
        <w:rPr>
          <w:rFonts w:ascii="Calibri" w:eastAsia="Times New Roman" w:hAnsi="Calibri"/>
          <w:sz w:val="16"/>
        </w:rPr>
        <w:t>URBANISMO DE MATO GROSSO DO SUL, BRASIL</w:t>
      </w:r>
    </w:p>
    <w:p w:rsidR="00250CA2" w:rsidRPr="00A5573A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50CA2" w:rsidRDefault="00250CA2" w:rsidP="00250CA2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250CA2" w:rsidTr="00CC3F56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2" w:rsidRDefault="00250CA2" w:rsidP="00CC3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250CA2" w:rsidTr="00CC3F56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Pr="00552089" w:rsidRDefault="00250CA2" w:rsidP="00CC3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Pr="00552089" w:rsidRDefault="00250CA2" w:rsidP="00CC3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Pr="00552089" w:rsidRDefault="00250CA2" w:rsidP="00CC3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Pr="00552089" w:rsidRDefault="00250CA2" w:rsidP="00CC3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250CA2" w:rsidTr="00CC3F56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Pr="007A5CE9" w:rsidRDefault="00250CA2" w:rsidP="00CC3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50CA2" w:rsidTr="00CC3F56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Pr="007A5CE9" w:rsidRDefault="00250CA2" w:rsidP="00CC3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50CA2" w:rsidTr="00CC3F56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Pr="007A5CE9" w:rsidRDefault="00250CA2" w:rsidP="00CC3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50CA2" w:rsidTr="00CC3F56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Rodrigo Giansante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A2" w:rsidRDefault="00250CA2" w:rsidP="00CC3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Pr="007A5CE9" w:rsidRDefault="00250CA2" w:rsidP="00CC3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50CA2" w:rsidTr="00CC3F56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A2" w:rsidRDefault="00250CA2" w:rsidP="00CC3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CA2" w:rsidRDefault="00250CA2" w:rsidP="00CC3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50CA2" w:rsidTr="00CC3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81ª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</w:p>
          <w:p w:rsidR="00250CA2" w:rsidRPr="00F16D23" w:rsidRDefault="00250CA2" w:rsidP="00CC3F56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8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 Reunião Ordinária da CEP-CAU/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MS</w:t>
            </w:r>
          </w:p>
          <w:p w:rsidR="00250CA2" w:rsidRDefault="00250CA2" w:rsidP="00CC3F56">
            <w:pPr>
              <w:jc w:val="both"/>
              <w:rPr>
                <w:rFonts w:ascii="Times New Roman" w:hAnsi="Times New Roman"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) </w:t>
            </w: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</w:p>
          <w:p w:rsidR="00250CA2" w:rsidRDefault="00250CA2" w:rsidP="00CC3F5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250CA2" w:rsidRDefault="00250CA2" w:rsidP="00CC3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250CA2" w:rsidRPr="00AD4DC7" w:rsidRDefault="00250CA2" w:rsidP="00250CA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6115C" w:rsidRDefault="0026115C">
      <w:pPr>
        <w:spacing w:before="4"/>
        <w:rPr>
          <w:sz w:val="16"/>
        </w:rPr>
      </w:pPr>
    </w:p>
    <w:sectPr w:rsidR="0026115C">
      <w:pgSz w:w="11900" w:h="16850"/>
      <w:pgMar w:top="2260" w:right="960" w:bottom="680" w:left="1400" w:header="1599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CA2">
      <w:r>
        <w:separator/>
      </w:r>
    </w:p>
  </w:endnote>
  <w:endnote w:type="continuationSeparator" w:id="0">
    <w:p w:rsidR="00000000" w:rsidRDefault="002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5C" w:rsidRDefault="000E79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1904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10242550</wp:posOffset>
              </wp:positionV>
              <wp:extent cx="90360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5C" w:rsidRDefault="00250CA2">
                          <w:pPr>
                            <w:spacing w:before="20"/>
                            <w:ind w:left="20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adea" w:hAnsi="Caladea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adea" w:hAnsi="Caladea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65pt;margin-top:806.5pt;width:71.15pt;height:16.1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XG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" filled="f" stroked="f">
              <v:textbox inset="0,0,0,0">
                <w:txbxContent>
                  <w:p w:rsidR="0026115C" w:rsidRDefault="00250CA2">
                    <w:pPr>
                      <w:spacing w:before="20"/>
                      <w:ind w:left="20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adea" w:hAnsi="Caladea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adea" w:hAnsi="Caladea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adea" w:hAnsi="Calade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adea" w:hAnsi="Caladea"/>
                        <w:sz w:val="24"/>
                      </w:rPr>
                      <w:t xml:space="preserve">de </w:t>
                    </w:r>
                    <w:r>
                      <w:rPr>
                        <w:rFonts w:ascii="Caladea" w:hAnsi="Caladea"/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0CA2">
      <w:r>
        <w:separator/>
      </w:r>
    </w:p>
  </w:footnote>
  <w:footnote w:type="continuationSeparator" w:id="0">
    <w:p w:rsidR="00000000" w:rsidRDefault="0025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5C" w:rsidRDefault="000E79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1392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1002665</wp:posOffset>
              </wp:positionV>
              <wp:extent cx="5062220" cy="452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22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5C" w:rsidRDefault="00250CA2">
                          <w:pPr>
                            <w:spacing w:before="14"/>
                            <w:ind w:left="17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SÚMULA - 80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ª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REUNIÃO ORDINÁRIA DA CEP – CAU/MS</w:t>
                          </w:r>
                        </w:p>
                        <w:p w:rsidR="0026115C" w:rsidRDefault="00250CA2">
                          <w:pPr>
                            <w:pStyle w:val="Corpodetexto"/>
                            <w:spacing w:before="47" w:line="249" w:lineRule="auto"/>
                            <w:ind w:left="20" w:right="18"/>
                            <w:jc w:val="center"/>
                          </w:pPr>
                          <w:r>
                            <w:t>COMISSÃO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EXERCÍCIO PROFISSIONAL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CONSELHO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ARQUITETURA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URBANISMO DE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MATO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GROSSO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05pt;margin-top:78.95pt;width:398.6pt;height:35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jjqw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" filled="f" stroked="f">
              <v:textbox inset="0,0,0,0">
                <w:txbxContent>
                  <w:p w:rsidR="0026115C" w:rsidRDefault="00250CA2">
                    <w:pPr>
                      <w:spacing w:before="14"/>
                      <w:ind w:left="17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SÚMULA - 80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ª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REUNIÃO ORDINÁRIA DA CEP – CAU/MS</w:t>
                    </w:r>
                  </w:p>
                  <w:p w:rsidR="0026115C" w:rsidRDefault="00250CA2">
                    <w:pPr>
                      <w:pStyle w:val="Corpodetexto"/>
                      <w:spacing w:before="47" w:line="249" w:lineRule="auto"/>
                      <w:ind w:left="20" w:right="18"/>
                      <w:jc w:val="center"/>
                    </w:pPr>
                    <w:r>
                      <w:t>COMISSÃO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EXERCÍCIO PROFISSIONAL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CONSELHO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ARQUITETURA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URBANISMO 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MATO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GROSSO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673DB"/>
    <w:multiLevelType w:val="hybridMultilevel"/>
    <w:tmpl w:val="F7FAB518"/>
    <w:lvl w:ilvl="0" w:tplc="E8CC5B60">
      <w:start w:val="1"/>
      <w:numFmt w:val="decimal"/>
      <w:lvlText w:val="%1)"/>
      <w:lvlJc w:val="left"/>
      <w:pPr>
        <w:ind w:left="926" w:hanging="360"/>
        <w:jc w:val="left"/>
      </w:pPr>
      <w:rPr>
        <w:rFonts w:ascii="Carlito" w:eastAsia="Carlito" w:hAnsi="Carlito" w:cs="Carlito" w:hint="default"/>
        <w:spacing w:val="0"/>
        <w:w w:val="99"/>
        <w:sz w:val="20"/>
        <w:szCs w:val="20"/>
        <w:lang w:val="pt-PT" w:eastAsia="en-US" w:bidi="ar-SA"/>
      </w:rPr>
    </w:lvl>
    <w:lvl w:ilvl="1" w:tplc="E6363E70">
      <w:numFmt w:val="bullet"/>
      <w:lvlText w:val="•"/>
      <w:lvlJc w:val="left"/>
      <w:pPr>
        <w:ind w:left="1550" w:hanging="360"/>
      </w:pPr>
      <w:rPr>
        <w:rFonts w:hint="default"/>
        <w:lang w:val="pt-PT" w:eastAsia="en-US" w:bidi="ar-SA"/>
      </w:rPr>
    </w:lvl>
    <w:lvl w:ilvl="2" w:tplc="DA32641A"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  <w:lvl w:ilvl="3" w:tplc="A5589DC6">
      <w:numFmt w:val="bullet"/>
      <w:lvlText w:val="•"/>
      <w:lvlJc w:val="left"/>
      <w:pPr>
        <w:ind w:left="2810" w:hanging="360"/>
      </w:pPr>
      <w:rPr>
        <w:rFonts w:hint="default"/>
        <w:lang w:val="pt-PT" w:eastAsia="en-US" w:bidi="ar-SA"/>
      </w:rPr>
    </w:lvl>
    <w:lvl w:ilvl="4" w:tplc="29D40BA8">
      <w:numFmt w:val="bullet"/>
      <w:lvlText w:val="•"/>
      <w:lvlJc w:val="left"/>
      <w:pPr>
        <w:ind w:left="3440" w:hanging="360"/>
      </w:pPr>
      <w:rPr>
        <w:rFonts w:hint="default"/>
        <w:lang w:val="pt-PT" w:eastAsia="en-US" w:bidi="ar-SA"/>
      </w:rPr>
    </w:lvl>
    <w:lvl w:ilvl="5" w:tplc="A208BC18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6" w:tplc="8BD6131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7" w:tplc="47863BD2">
      <w:numFmt w:val="bullet"/>
      <w:lvlText w:val="•"/>
      <w:lvlJc w:val="left"/>
      <w:pPr>
        <w:ind w:left="5330" w:hanging="360"/>
      </w:pPr>
      <w:rPr>
        <w:rFonts w:hint="default"/>
        <w:lang w:val="pt-PT" w:eastAsia="en-US" w:bidi="ar-SA"/>
      </w:rPr>
    </w:lvl>
    <w:lvl w:ilvl="8" w:tplc="65D87E16">
      <w:numFmt w:val="bullet"/>
      <w:lvlText w:val="•"/>
      <w:lvlJc w:val="left"/>
      <w:pPr>
        <w:ind w:left="5960" w:hanging="360"/>
      </w:pPr>
      <w:rPr>
        <w:rFonts w:hint="default"/>
        <w:lang w:val="pt-PT" w:eastAsia="en-US" w:bidi="ar-SA"/>
      </w:rPr>
    </w:lvl>
  </w:abstractNum>
  <w:abstractNum w:abstractNumId="1">
    <w:nsid w:val="527E6F06"/>
    <w:multiLevelType w:val="hybridMultilevel"/>
    <w:tmpl w:val="060C5048"/>
    <w:lvl w:ilvl="0" w:tplc="32BCBB10">
      <w:start w:val="1"/>
      <w:numFmt w:val="decimal"/>
      <w:lvlText w:val="%1."/>
      <w:lvlJc w:val="left"/>
      <w:pPr>
        <w:ind w:left="662" w:hanging="531"/>
        <w:jc w:val="left"/>
      </w:pPr>
      <w:rPr>
        <w:rFonts w:ascii="Carlito" w:eastAsia="Carlito" w:hAnsi="Carlito" w:cs="Carlito" w:hint="default"/>
        <w:b/>
        <w:bCs/>
        <w:spacing w:val="0"/>
        <w:w w:val="99"/>
        <w:sz w:val="20"/>
        <w:szCs w:val="20"/>
        <w:shd w:val="clear" w:color="auto" w:fill="D9D9D9"/>
        <w:lang w:val="pt-PT" w:eastAsia="en-US" w:bidi="ar-SA"/>
      </w:rPr>
    </w:lvl>
    <w:lvl w:ilvl="1" w:tplc="E7C87BDA">
      <w:numFmt w:val="bullet"/>
      <w:lvlText w:val="•"/>
      <w:lvlJc w:val="left"/>
      <w:pPr>
        <w:ind w:left="1547" w:hanging="531"/>
      </w:pPr>
      <w:rPr>
        <w:rFonts w:hint="default"/>
        <w:lang w:val="pt-PT" w:eastAsia="en-US" w:bidi="ar-SA"/>
      </w:rPr>
    </w:lvl>
    <w:lvl w:ilvl="2" w:tplc="C9D0E128">
      <w:numFmt w:val="bullet"/>
      <w:lvlText w:val="•"/>
      <w:lvlJc w:val="left"/>
      <w:pPr>
        <w:ind w:left="2435" w:hanging="531"/>
      </w:pPr>
      <w:rPr>
        <w:rFonts w:hint="default"/>
        <w:lang w:val="pt-PT" w:eastAsia="en-US" w:bidi="ar-SA"/>
      </w:rPr>
    </w:lvl>
    <w:lvl w:ilvl="3" w:tplc="44780B94">
      <w:numFmt w:val="bullet"/>
      <w:lvlText w:val="•"/>
      <w:lvlJc w:val="left"/>
      <w:pPr>
        <w:ind w:left="3323" w:hanging="531"/>
      </w:pPr>
      <w:rPr>
        <w:rFonts w:hint="default"/>
        <w:lang w:val="pt-PT" w:eastAsia="en-US" w:bidi="ar-SA"/>
      </w:rPr>
    </w:lvl>
    <w:lvl w:ilvl="4" w:tplc="9EE66CBA">
      <w:numFmt w:val="bullet"/>
      <w:lvlText w:val="•"/>
      <w:lvlJc w:val="left"/>
      <w:pPr>
        <w:ind w:left="4211" w:hanging="531"/>
      </w:pPr>
      <w:rPr>
        <w:rFonts w:hint="default"/>
        <w:lang w:val="pt-PT" w:eastAsia="en-US" w:bidi="ar-SA"/>
      </w:rPr>
    </w:lvl>
    <w:lvl w:ilvl="5" w:tplc="997CA716">
      <w:numFmt w:val="bullet"/>
      <w:lvlText w:val="•"/>
      <w:lvlJc w:val="left"/>
      <w:pPr>
        <w:ind w:left="5099" w:hanging="531"/>
      </w:pPr>
      <w:rPr>
        <w:rFonts w:hint="default"/>
        <w:lang w:val="pt-PT" w:eastAsia="en-US" w:bidi="ar-SA"/>
      </w:rPr>
    </w:lvl>
    <w:lvl w:ilvl="6" w:tplc="904AF0E6">
      <w:numFmt w:val="bullet"/>
      <w:lvlText w:val="•"/>
      <w:lvlJc w:val="left"/>
      <w:pPr>
        <w:ind w:left="5987" w:hanging="531"/>
      </w:pPr>
      <w:rPr>
        <w:rFonts w:hint="default"/>
        <w:lang w:val="pt-PT" w:eastAsia="en-US" w:bidi="ar-SA"/>
      </w:rPr>
    </w:lvl>
    <w:lvl w:ilvl="7" w:tplc="34EED680">
      <w:numFmt w:val="bullet"/>
      <w:lvlText w:val="•"/>
      <w:lvlJc w:val="left"/>
      <w:pPr>
        <w:ind w:left="6875" w:hanging="531"/>
      </w:pPr>
      <w:rPr>
        <w:rFonts w:hint="default"/>
        <w:lang w:val="pt-PT" w:eastAsia="en-US" w:bidi="ar-SA"/>
      </w:rPr>
    </w:lvl>
    <w:lvl w:ilvl="8" w:tplc="81D2B850">
      <w:numFmt w:val="bullet"/>
      <w:lvlText w:val="•"/>
      <w:lvlJc w:val="left"/>
      <w:pPr>
        <w:ind w:left="7763" w:hanging="531"/>
      </w:pPr>
      <w:rPr>
        <w:rFonts w:hint="default"/>
        <w:lang w:val="pt-PT" w:eastAsia="en-US" w:bidi="ar-SA"/>
      </w:rPr>
    </w:lvl>
  </w:abstractNum>
  <w:abstractNum w:abstractNumId="2">
    <w:nsid w:val="7CE10531"/>
    <w:multiLevelType w:val="hybridMultilevel"/>
    <w:tmpl w:val="9D7E7642"/>
    <w:lvl w:ilvl="0" w:tplc="29447082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E4E3424">
      <w:numFmt w:val="bullet"/>
      <w:lvlText w:val="•"/>
      <w:lvlJc w:val="left"/>
      <w:pPr>
        <w:ind w:left="1442" w:hanging="360"/>
      </w:pPr>
      <w:rPr>
        <w:rFonts w:hint="default"/>
        <w:lang w:val="pt-PT" w:eastAsia="en-US" w:bidi="ar-SA"/>
      </w:rPr>
    </w:lvl>
    <w:lvl w:ilvl="2" w:tplc="933AB4B4">
      <w:numFmt w:val="bullet"/>
      <w:lvlText w:val="•"/>
      <w:lvlJc w:val="left"/>
      <w:pPr>
        <w:ind w:left="2084" w:hanging="360"/>
      </w:pPr>
      <w:rPr>
        <w:rFonts w:hint="default"/>
        <w:lang w:val="pt-PT" w:eastAsia="en-US" w:bidi="ar-SA"/>
      </w:rPr>
    </w:lvl>
    <w:lvl w:ilvl="3" w:tplc="FF10CD40">
      <w:numFmt w:val="bullet"/>
      <w:lvlText w:val="•"/>
      <w:lvlJc w:val="left"/>
      <w:pPr>
        <w:ind w:left="2726" w:hanging="360"/>
      </w:pPr>
      <w:rPr>
        <w:rFonts w:hint="default"/>
        <w:lang w:val="pt-PT" w:eastAsia="en-US" w:bidi="ar-SA"/>
      </w:rPr>
    </w:lvl>
    <w:lvl w:ilvl="4" w:tplc="8DCC7220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5" w:tplc="D2F23F2E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  <w:lvl w:ilvl="6" w:tplc="5D18E6B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7" w:tplc="EB781CFE">
      <w:numFmt w:val="bullet"/>
      <w:lvlText w:val="•"/>
      <w:lvlJc w:val="left"/>
      <w:pPr>
        <w:ind w:left="5294" w:hanging="360"/>
      </w:pPr>
      <w:rPr>
        <w:rFonts w:hint="default"/>
        <w:lang w:val="pt-PT" w:eastAsia="en-US" w:bidi="ar-SA"/>
      </w:rPr>
    </w:lvl>
    <w:lvl w:ilvl="8" w:tplc="A9F6D3AA">
      <w:numFmt w:val="bullet"/>
      <w:lvlText w:val="•"/>
      <w:lvlJc w:val="left"/>
      <w:pPr>
        <w:ind w:left="59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5C"/>
    <w:rsid w:val="000E79DB"/>
    <w:rsid w:val="00250CA2"/>
    <w:rsid w:val="002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FD0DEA6B-F4ED-4000-B918-D9589AF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119"/>
      <w:ind w:left="662" w:hanging="531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line="219" w:lineRule="exact"/>
      <w:ind w:left="268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19"/>
      <w:ind w:left="662" w:hanging="531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3</cp:revision>
  <dcterms:created xsi:type="dcterms:W3CDTF">2020-06-02T20:45:00Z</dcterms:created>
  <dcterms:modified xsi:type="dcterms:W3CDTF">2020-06-02T20:47:00Z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