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0"/>
        <w:gridCol w:w="3827"/>
        <w:gridCol w:w="1134"/>
        <w:gridCol w:w="2158"/>
      </w:tblGrid>
      <w:tr w:rsidR="006458A2" w:rsidRPr="00402A3A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402A3A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402A3A" w:rsidRDefault="00512FCE" w:rsidP="00AE08E8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21 de novembro</w:t>
            </w:r>
            <w:r w:rsidR="00AE32EE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2018 (quarta</w:t>
            </w:r>
            <w:r w:rsidR="00892B46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402A3A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402A3A" w:rsidRDefault="00E43817" w:rsidP="00AE08E8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13:48</w:t>
            </w:r>
            <w:r w:rsidR="00113B00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113B00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hrs</w:t>
            </w:r>
            <w:proofErr w:type="spellEnd"/>
          </w:p>
        </w:tc>
      </w:tr>
      <w:tr w:rsidR="006458A2" w:rsidRPr="00402A3A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402A3A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402A3A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– Espirito Santo 205, Jd. </w:t>
            </w:r>
            <w:proofErr w:type="gramStart"/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dos</w:t>
            </w:r>
            <w:proofErr w:type="gramEnd"/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Estados - Campo Grande – MS</w:t>
            </w:r>
          </w:p>
        </w:tc>
      </w:tr>
    </w:tbl>
    <w:p w:rsidR="00892B46" w:rsidRPr="00402A3A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402A3A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6458A2" w:rsidRPr="00402A3A" w:rsidTr="00FE0CF1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402A3A" w:rsidRDefault="00892B46" w:rsidP="00AE08E8">
            <w:pPr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402A3A" w:rsidRDefault="00892B46" w:rsidP="00AE08E8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  <w:p w:rsidR="00892B46" w:rsidRPr="00402A3A" w:rsidRDefault="00512FCE" w:rsidP="00AE08E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PAULO CESAR DO AMARAL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402A3A" w:rsidRDefault="00892B46" w:rsidP="00AE08E8">
            <w:pPr>
              <w:ind w:firstLine="56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</w:p>
          <w:p w:rsidR="00892B46" w:rsidRPr="00402A3A" w:rsidRDefault="00892B46" w:rsidP="00AE08E8">
            <w:pPr>
              <w:ind w:firstLine="56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6458A2" w:rsidRPr="00402A3A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402A3A" w:rsidRDefault="00892B46" w:rsidP="00AE08E8">
            <w:pPr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402A3A" w:rsidRDefault="00512FCE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FABIO HENRIQUE MENONCIN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402A3A" w:rsidRDefault="00512FCE" w:rsidP="00512FCE">
            <w:pPr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402A3A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402A3A" w:rsidRDefault="000D68B8" w:rsidP="000D68B8">
            <w:pPr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402A3A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ISABELA FURTADO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402A3A" w:rsidRDefault="000D68B8" w:rsidP="000D68B8">
            <w:pPr>
              <w:ind w:firstLine="56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402A3A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402A3A" w:rsidRDefault="000D68B8" w:rsidP="000D68B8">
            <w:pPr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402A3A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</w:t>
            </w:r>
            <w:r w:rsidR="00F76E70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IFRAM</w:t>
            </w: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402A3A" w:rsidRDefault="000D68B8" w:rsidP="000D68B8">
            <w:pPr>
              <w:ind w:firstLine="56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402A3A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402A3A" w:rsidRDefault="000D68B8" w:rsidP="000D68B8">
            <w:pPr>
              <w:pStyle w:val="Cabealhocomtodasemmaisculas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402A3A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402A3A" w:rsidRDefault="000D68B8" w:rsidP="000D68B8">
            <w:pPr>
              <w:ind w:firstLine="56"/>
              <w:jc w:val="both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>PROCURADOR JURÍDICO</w:t>
            </w:r>
          </w:p>
        </w:tc>
        <w:bookmarkStart w:id="0" w:name="_GoBack"/>
        <w:bookmarkEnd w:id="0"/>
      </w:tr>
    </w:tbl>
    <w:p w:rsidR="00892B46" w:rsidRPr="00402A3A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402A3A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78"/>
        <w:gridCol w:w="7191"/>
      </w:tblGrid>
      <w:tr w:rsidR="006458A2" w:rsidRPr="00402A3A" w:rsidTr="00ED6885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402A3A" w:rsidRDefault="00892B46" w:rsidP="00402A3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892B46" w:rsidRPr="00402A3A" w:rsidRDefault="00892B46" w:rsidP="00402A3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45B5" w:rsidRDefault="00892B46" w:rsidP="00402A3A">
            <w:pPr>
              <w:spacing w:after="240"/>
              <w:ind w:left="114" w:right="74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1) A</w:t>
            </w:r>
            <w:r w:rsidR="0065622C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bertura e Verificação de Quórum; </w:t>
            </w:r>
            <w:r w:rsidR="00402A3A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aguardados os 15 minutos</w:t>
            </w:r>
            <w:r w:rsidR="0065622C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de tolerância, foi feita a </w:t>
            </w:r>
            <w:r w:rsidR="00402A3A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verificação</w:t>
            </w:r>
            <w:r w:rsidR="0065622C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de quórum e</w:t>
            </w:r>
            <w:r w:rsidR="00402A3A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, em atenção ao Art. 113 que estabelece </w:t>
            </w:r>
            <w:r w:rsidR="00402A3A" w:rsidRPr="00402A3A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t-BR"/>
              </w:rPr>
              <w:t xml:space="preserve">“o quórum para instalação e funcionamento de reuniões de comissões ordinárias e especiais corresponde ao número inteiro imediatamente superior à metade de seus </w:t>
            </w:r>
            <w:proofErr w:type="gramStart"/>
            <w:r w:rsidR="00402A3A" w:rsidRPr="00402A3A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t-BR"/>
              </w:rPr>
              <w:t>membros.”</w:t>
            </w:r>
            <w:proofErr w:type="gramEnd"/>
            <w:r w:rsidR="00402A3A" w:rsidRPr="00402A3A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t-BR"/>
              </w:rPr>
              <w:t>,</w:t>
            </w:r>
            <w:r w:rsidR="0065622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constatou-se insuficiência de quórum</w:t>
            </w:r>
            <w:r w:rsidR="0065622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. Então, a reunião pro</w:t>
            </w:r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ssegue de forma </w:t>
            </w:r>
            <w:proofErr w:type="spellStart"/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extra-oficial</w:t>
            </w:r>
            <w:proofErr w:type="spellEnd"/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, sendo </w:t>
            </w:r>
            <w:r w:rsidR="0065622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realizadas apenas as demandas que não </w:t>
            </w:r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exigiam votação</w:t>
            </w:r>
            <w:r w:rsidR="0065622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.</w:t>
            </w:r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br/>
            </w: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:rsidR="00E32331" w:rsidRPr="00402A3A" w:rsidRDefault="00402A3A" w:rsidP="00402A3A">
            <w:pPr>
              <w:spacing w:after="240"/>
              <w:ind w:left="114" w:right="74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6E5CC3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2.1)</w:t>
            </w:r>
            <w:r w:rsidR="00212612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Súmula da 58</w:t>
            </w:r>
            <w:r w:rsidR="00892B46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ª re</w:t>
            </w:r>
            <w:r w:rsidR="00DC66F5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união </w:t>
            </w:r>
            <w:r w:rsidR="006E5CC3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ordinária da CED</w:t>
            </w:r>
            <w:r w:rsidR="00212612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do dia 24/10</w:t>
            </w:r>
            <w:r w:rsidR="00E43817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/2018 – </w:t>
            </w:r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transferida para próxima sessão;</w:t>
            </w:r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br/>
            </w:r>
            <w:r w:rsidR="00892B46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3) Leitura e extra</w:t>
            </w:r>
            <w:r w:rsidR="0050284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to de correspondências </w:t>
            </w:r>
            <w:r w:rsidR="00A94BD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recebidas</w:t>
            </w:r>
            <w:r w:rsidR="00E43817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 – Não houve</w:t>
            </w:r>
          </w:p>
          <w:p w:rsidR="009C6EA6" w:rsidRPr="00402A3A" w:rsidRDefault="00402A3A" w:rsidP="00402A3A">
            <w:pPr>
              <w:ind w:right="74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="00686066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4) Comunicações:</w:t>
            </w:r>
          </w:p>
          <w:p w:rsidR="0065622C" w:rsidRPr="00402A3A" w:rsidRDefault="0065622C" w:rsidP="00402A3A">
            <w:pPr>
              <w:ind w:left="114" w:right="74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4.1) </w:t>
            </w:r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 coordenador Paulo relata sua </w:t>
            </w:r>
            <w:proofErr w:type="spellStart"/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partipação</w:t>
            </w:r>
            <w:proofErr w:type="spellEnd"/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no 16º Seminário Regional da Comissão de Ética e Disciplina, </w:t>
            </w:r>
            <w:r w:rsidR="00055B5B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ocorrido nos dias 25/10/2018 e 26/10/2018,</w:t>
            </w:r>
            <w:r w:rsidR="00E43817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em Florianópolis/SC.</w:t>
            </w:r>
          </w:p>
          <w:p w:rsidR="00512FCE" w:rsidRPr="00402A3A" w:rsidRDefault="00A94BDC" w:rsidP="00402A3A">
            <w:pPr>
              <w:ind w:left="114" w:right="74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402A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4.2</w:t>
            </w:r>
            <w:r w:rsidR="00892B46" w:rsidRPr="00402A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) </w:t>
            </w:r>
            <w:r w:rsidR="009C6EA6"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Audiência de Conciliação</w:t>
            </w:r>
            <w:r w:rsidR="0050284A"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:</w:t>
            </w:r>
            <w:r w:rsidR="0065622C"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Não houve.</w:t>
            </w:r>
          </w:p>
          <w:p w:rsidR="000E764C" w:rsidRDefault="00892B46" w:rsidP="00402A3A">
            <w:pPr>
              <w:ind w:left="114" w:right="74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5) Apr</w:t>
            </w:r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esentação da Pauta e </w:t>
            </w:r>
            <w:proofErr w:type="spellStart"/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;</w:t>
            </w: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:rsidR="00E32331" w:rsidRPr="00402A3A" w:rsidRDefault="00892B46" w:rsidP="00402A3A">
            <w:pPr>
              <w:ind w:left="114" w:right="74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5.1)</w:t>
            </w:r>
            <w:r w:rsidR="00B03DB6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B0965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 w:rsidR="00E43817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– Não houve.</w:t>
            </w:r>
          </w:p>
          <w:p w:rsidR="00402A3A" w:rsidRPr="00402A3A" w:rsidRDefault="006F7C35" w:rsidP="00402A3A">
            <w:pPr>
              <w:tabs>
                <w:tab w:val="left" w:pos="6945"/>
              </w:tabs>
              <w:ind w:left="114" w:right="74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ab/>
            </w:r>
          </w:p>
          <w:p w:rsidR="00520A8B" w:rsidRPr="00402A3A" w:rsidRDefault="00E32331" w:rsidP="00402A3A">
            <w:pPr>
              <w:tabs>
                <w:tab w:val="left" w:pos="6945"/>
              </w:tabs>
              <w:ind w:left="114" w:right="74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6) Distribuição dos processos</w:t>
            </w:r>
            <w:r w:rsidR="0065622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: </w:t>
            </w:r>
            <w:r w:rsidR="0065622C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Foram distribuídos</w:t>
            </w:r>
            <w:r w:rsidR="00CB360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:</w:t>
            </w:r>
            <w:r w:rsidR="0065622C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 Ético nº</w:t>
            </w:r>
            <w:r w:rsidR="0065622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55B5B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755459/2018;</w:t>
            </w:r>
            <w:r w:rsidR="00402A3A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55B5B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Processo Ético nº </w:t>
            </w:r>
            <w:r w:rsidR="007D0D69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774580/2018; Processo Ético nº 778917/2018; Processo </w:t>
            </w:r>
            <w:r w:rsidR="009C1B1F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Ético nº 778911/2018; 753650</w:t>
            </w:r>
            <w:r w:rsidR="007D0D69" w:rsidRPr="00402A3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/2018</w:t>
            </w:r>
          </w:p>
          <w:p w:rsidR="0065622C" w:rsidRPr="00402A3A" w:rsidRDefault="00892B46" w:rsidP="00402A3A">
            <w:pPr>
              <w:ind w:left="114" w:right="74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7) Relato, disc</w:t>
            </w:r>
            <w:r w:rsidR="00F62DAF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ussão e apreciação das </w:t>
            </w:r>
            <w:r w:rsidR="0065622C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matérias: </w:t>
            </w:r>
            <w:r w:rsidR="00402A3A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transferido para próxima sessão</w:t>
            </w:r>
          </w:p>
          <w:p w:rsidR="00892B46" w:rsidRPr="00402A3A" w:rsidRDefault="005850D8" w:rsidP="00402A3A">
            <w:pPr>
              <w:ind w:left="114" w:right="74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8</w:t>
            </w:r>
            <w:r w:rsidR="00892B46" w:rsidRPr="00402A3A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) Encerramento.</w:t>
            </w:r>
          </w:p>
        </w:tc>
      </w:tr>
      <w:tr w:rsidR="006458A2" w:rsidRPr="00402A3A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402A3A" w:rsidRDefault="00892B46" w:rsidP="00402A3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  <w:p w:rsidR="00892B46" w:rsidRPr="00402A3A" w:rsidRDefault="00892B46" w:rsidP="00402A3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402A3A" w:rsidRDefault="00892B46" w:rsidP="00402A3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402A3A" w:rsidRDefault="007D0D69" w:rsidP="00402A3A">
            <w:pPr>
              <w:tabs>
                <w:tab w:val="left" w:pos="1254"/>
              </w:tabs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892B46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coordenador tendo verificado o quórum, </w:t>
            </w:r>
            <w:r w:rsidR="00E61CE9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observa</w:t>
            </w: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que não houve quórum suficiente e, por isso a reunião só poderá ocorrer de forma </w:t>
            </w:r>
            <w:r w:rsidR="000F7C5A"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extraoficial</w:t>
            </w:r>
            <w:r w:rsidRPr="00402A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sem as atividades que necessitem de votação.</w:t>
            </w:r>
          </w:p>
        </w:tc>
      </w:tr>
      <w:tr w:rsidR="00BB7D7D" w:rsidRPr="00402A3A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402A3A" w:rsidRDefault="00892B46" w:rsidP="00402A3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02A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61CE9" w:rsidRPr="00402A3A" w:rsidRDefault="00E61CE9" w:rsidP="00402A3A">
            <w:pPr>
              <w:pStyle w:val="PargrafodaLista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02A3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Relato do Conselheiro Paulo Cesar do Amaral sobre sua participação no 16º Seminário Regional da Comissão de Ética e Disciplina, nos dias 25/10/2018 e 26/10/2018, em Florianópolis/ SC.</w:t>
            </w:r>
          </w:p>
          <w:p w:rsidR="004813FA" w:rsidRPr="00402A3A" w:rsidRDefault="00D9137B" w:rsidP="00402A3A">
            <w:pPr>
              <w:pStyle w:val="PargrafodaLista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lastRenderedPageBreak/>
              <w:t>Audiência</w:t>
            </w:r>
            <w:r w:rsidR="007D0D69"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de Conciliação</w:t>
            </w:r>
            <w:r w:rsidR="00552379"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– Não Houve</w:t>
            </w:r>
            <w:r w:rsidR="009554D8"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1BAC" w:rsidRPr="00402A3A" w:rsidRDefault="00FC4D1A" w:rsidP="00402A3A">
            <w:pPr>
              <w:pStyle w:val="PargrafodaLista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Extrapauta</w:t>
            </w:r>
            <w:proofErr w:type="spellEnd"/>
            <w:r w:rsidR="00D91043" w:rsidRPr="00402A3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– Não Houve</w:t>
            </w:r>
          </w:p>
          <w:p w:rsidR="00FC4D1A" w:rsidRPr="00402A3A" w:rsidRDefault="00E560A2" w:rsidP="00402A3A">
            <w:pPr>
              <w:pStyle w:val="PargrafodaLista"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A3A">
              <w:rPr>
                <w:rFonts w:asciiTheme="minorHAnsi" w:hAnsiTheme="minorHAnsi" w:cstheme="minorHAnsi"/>
                <w:b/>
                <w:sz w:val="20"/>
                <w:szCs w:val="20"/>
              </w:rPr>
              <w:t>Distribuição dos processo</w:t>
            </w:r>
            <w:r w:rsidR="00A37F28" w:rsidRPr="00402A3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402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ético</w:t>
            </w:r>
            <w:r w:rsidR="00FC4D1A" w:rsidRPr="00402A3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892B46" w:rsidRPr="00402A3A" w:rsidRDefault="00892B46" w:rsidP="00402A3A">
            <w:pPr>
              <w:pStyle w:val="PargrafodaLista"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2A3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Encerramento.</w:t>
            </w:r>
          </w:p>
        </w:tc>
      </w:tr>
    </w:tbl>
    <w:p w:rsidR="00892B46" w:rsidRPr="006458A2" w:rsidRDefault="00892B46" w:rsidP="00402A3A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6458A2" w:rsidRPr="006458A2" w:rsidTr="003B07A2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  <w:r w:rsidR="005432F0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COMUNICAÇões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E61CE9" w:rsidRDefault="00E61CE9" w:rsidP="00402A3A">
            <w:pPr>
              <w:pStyle w:val="PargrafodaLista"/>
              <w:numPr>
                <w:ilvl w:val="0"/>
                <w:numId w:val="32"/>
              </w:numPr>
              <w:contextualSpacing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E61CE9">
              <w:rPr>
                <w:rFonts w:ascii="Calibri" w:hAnsi="Calibri"/>
                <w:sz w:val="20"/>
                <w:szCs w:val="20"/>
                <w:shd w:val="clear" w:color="auto" w:fill="FFFFFF"/>
              </w:rPr>
              <w:t>Relato do Conselheiro Paulo Cesar do Amaral sobre sua participação no 16º Seminário Regional da Comissão de Ética e Disciplina, nos dias 25/10/2018 e 26/10/2018, em Florianópolis/ SC.</w:t>
            </w:r>
            <w:r w:rsidR="00D9104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 qual foram abordados alguns assuntos, tais como a sugestão de que os conselheiros que forem participar nos </w:t>
            </w:r>
            <w:r w:rsidR="00ED19E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seminários </w:t>
            </w:r>
            <w:r w:rsidR="004B5AFB">
              <w:rPr>
                <w:rFonts w:ascii="Calibri" w:hAnsi="Calibri"/>
                <w:sz w:val="20"/>
                <w:szCs w:val="20"/>
                <w:shd w:val="clear" w:color="auto" w:fill="FFFFFF"/>
              </w:rPr>
              <w:t>regionais tenham</w:t>
            </w:r>
            <w:r w:rsidR="00ED19E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projetos nacionais</w:t>
            </w:r>
            <w:r w:rsidR="004B5AFB">
              <w:rPr>
                <w:rFonts w:ascii="Calibri" w:hAnsi="Calibri"/>
                <w:sz w:val="20"/>
                <w:szCs w:val="20"/>
                <w:shd w:val="clear" w:color="auto" w:fill="FFFFFF"/>
              </w:rPr>
              <w:t>,</w:t>
            </w:r>
            <w:r w:rsidR="00ED19E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 projeto piloto já realizado. E, também comentou a respeito de sugestões para os conselheiros que promovam maior celeridade dos processos.</w:t>
            </w:r>
            <w:r w:rsidR="00392C78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E, solicitação de </w:t>
            </w:r>
            <w:proofErr w:type="gramStart"/>
            <w:r w:rsidR="00392C78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uma </w:t>
            </w:r>
            <w:r w:rsidR="00C945B5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</w:t>
            </w:r>
            <w:r w:rsidR="001914CF">
              <w:rPr>
                <w:rFonts w:ascii="Calibri" w:hAnsi="Calibri"/>
                <w:sz w:val="20"/>
                <w:szCs w:val="20"/>
                <w:shd w:val="clear" w:color="auto" w:fill="FFFFFF"/>
              </w:rPr>
              <w:t>eterminação</w:t>
            </w:r>
            <w:proofErr w:type="gramEnd"/>
            <w:r w:rsidR="001914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da C</w:t>
            </w:r>
            <w:r w:rsidR="00B863B5">
              <w:rPr>
                <w:rFonts w:ascii="Calibri" w:hAnsi="Calibri"/>
                <w:sz w:val="20"/>
                <w:szCs w:val="20"/>
                <w:shd w:val="clear" w:color="auto" w:fill="FFFFFF"/>
              </w:rPr>
              <w:t>oordenação da CED, direcionada aos conselheiros da CED, para maior celeridade dos processos.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402A3A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E61CE9" w:rsidP="00402A3A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6458A2" w:rsidRPr="006458A2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B841BF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402A3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>Não houve.</w:t>
            </w:r>
          </w:p>
        </w:tc>
      </w:tr>
    </w:tbl>
    <w:p w:rsidR="00930425" w:rsidRPr="006458A2" w:rsidRDefault="00930425" w:rsidP="00402A3A">
      <w:pPr>
        <w:shd w:val="clear" w:color="auto" w:fill="FFFFFF" w:themeFill="background1"/>
        <w:spacing w:before="120" w:after="120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3"/>
        <w:gridCol w:w="7123"/>
      </w:tblGrid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930425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2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</w:t>
            </w:r>
            <w:r w:rsidR="000F0840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32F0" w:rsidRDefault="008D6841" w:rsidP="00402A3A">
            <w:pP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Distribuição de Processos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402A3A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D6841" w:rsidP="00402A3A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4957" w:rsidRPr="00552379" w:rsidRDefault="008D6841" w:rsidP="00402A3A">
            <w:pPr>
              <w:contextualSpacing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Foram distribuídos os Processos Éticos nº 774580/2018 ao Conselheiro Bruno de Alencar; Processo Ético nº 778917/2018 </w:t>
            </w:r>
            <w:r w:rsidR="004B5AFB">
              <w:rPr>
                <w:rFonts w:ascii="Calibri" w:hAnsi="Calibri"/>
                <w:sz w:val="20"/>
                <w:szCs w:val="20"/>
                <w:shd w:val="clear" w:color="auto" w:fill="FFFFFF"/>
              </w:rPr>
              <w:t>ao Conselheiro Bruno de Alencar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; Processo Ético nº 778911/2018 ao Conselheiro Bruno de Alencar, Processo Ético nº 755459/2018 ao Conselheiro Paulo Cesar do Amaral; Processo Ético nº 736333/2018 à Suplente de Conselheira Ivanete Carpes Ramos; Processo Ético nº 753650/2018 à Suplente de Conselheira Ivanete Carpes Ramos.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402A3A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91384E" w:rsidP="00402A3A">
            <w:pPr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AF22E3" w:rsidRPr="00645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0640F" w:rsidRDefault="0020640F" w:rsidP="00402A3A">
      <w:pPr>
        <w:rPr>
          <w:rFonts w:ascii="Times New Roman" w:hAnsi="Times New Roman"/>
          <w:sz w:val="22"/>
          <w:szCs w:val="22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3"/>
        <w:gridCol w:w="6983"/>
      </w:tblGrid>
      <w:tr w:rsidR="00260134" w:rsidTr="00260134">
        <w:trPr>
          <w:trHeight w:val="274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260134" w:rsidRDefault="00F97E18" w:rsidP="00402A3A">
            <w:pPr>
              <w:spacing w:before="60" w:after="60" w:line="256" w:lineRule="auto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  <w:r w:rsidR="0026013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enCERRAMENTO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260134" w:rsidRDefault="00260134" w:rsidP="00402A3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encerra a reunião às </w:t>
            </w:r>
            <w:r w:rsidR="007E4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CD2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="007E4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57</w:t>
            </w:r>
            <w:r w:rsidR="00CD2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27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</w:p>
        </w:tc>
      </w:tr>
    </w:tbl>
    <w:p w:rsidR="004A0BD8" w:rsidRDefault="004A0BD8" w:rsidP="00402A3A">
      <w:pPr>
        <w:rPr>
          <w:rFonts w:ascii="Times New Roman" w:hAnsi="Times New Roman"/>
          <w:sz w:val="22"/>
          <w:szCs w:val="22"/>
        </w:rPr>
      </w:pPr>
    </w:p>
    <w:p w:rsidR="004A0BD8" w:rsidRDefault="004A0BD8" w:rsidP="00402A3A">
      <w:pPr>
        <w:rPr>
          <w:rFonts w:ascii="Times New Roman" w:hAnsi="Times New Roman"/>
          <w:sz w:val="22"/>
          <w:szCs w:val="22"/>
        </w:rPr>
      </w:pPr>
    </w:p>
    <w:p w:rsidR="00590DB1" w:rsidRDefault="00590DB1" w:rsidP="00402A3A">
      <w:pPr>
        <w:rPr>
          <w:rFonts w:ascii="Times New Roman" w:hAnsi="Times New Roman"/>
          <w:sz w:val="22"/>
          <w:szCs w:val="22"/>
        </w:rPr>
      </w:pPr>
    </w:p>
    <w:p w:rsidR="00590DB1" w:rsidRDefault="00590DB1" w:rsidP="00402A3A">
      <w:pPr>
        <w:rPr>
          <w:rFonts w:ascii="Times New Roman" w:hAnsi="Times New Roman"/>
          <w:sz w:val="22"/>
          <w:szCs w:val="22"/>
        </w:rPr>
      </w:pPr>
    </w:p>
    <w:p w:rsidR="00590DB1" w:rsidRDefault="00590DB1" w:rsidP="00402A3A">
      <w:pPr>
        <w:rPr>
          <w:rFonts w:ascii="Times New Roman" w:hAnsi="Times New Roman"/>
          <w:sz w:val="22"/>
          <w:szCs w:val="22"/>
        </w:rPr>
      </w:pPr>
    </w:p>
    <w:p w:rsidR="00C249F2" w:rsidRDefault="00C249F2" w:rsidP="00402A3A">
      <w:pPr>
        <w:rPr>
          <w:rFonts w:ascii="Times New Roman" w:hAnsi="Times New Roman"/>
          <w:sz w:val="22"/>
          <w:szCs w:val="22"/>
        </w:rPr>
      </w:pPr>
    </w:p>
    <w:p w:rsidR="00C249F2" w:rsidRDefault="00C249F2" w:rsidP="00402A3A">
      <w:pPr>
        <w:rPr>
          <w:rFonts w:ascii="Times New Roman" w:hAnsi="Times New Roman"/>
          <w:sz w:val="22"/>
          <w:szCs w:val="22"/>
        </w:rPr>
      </w:pPr>
    </w:p>
    <w:p w:rsidR="00C249F2" w:rsidRDefault="00C249F2" w:rsidP="00402A3A">
      <w:pPr>
        <w:rPr>
          <w:rFonts w:ascii="Times New Roman" w:hAnsi="Times New Roman"/>
          <w:sz w:val="22"/>
          <w:szCs w:val="22"/>
        </w:rPr>
      </w:pPr>
    </w:p>
    <w:p w:rsidR="00C249F2" w:rsidRDefault="00C249F2" w:rsidP="00402A3A">
      <w:pPr>
        <w:rPr>
          <w:rFonts w:ascii="Times New Roman" w:hAnsi="Times New Roman"/>
          <w:sz w:val="22"/>
          <w:szCs w:val="22"/>
        </w:rPr>
      </w:pPr>
    </w:p>
    <w:p w:rsidR="00590DB1" w:rsidRDefault="00590DB1" w:rsidP="00402A3A">
      <w:pPr>
        <w:rPr>
          <w:rFonts w:ascii="Times New Roman" w:hAnsi="Times New Roman"/>
          <w:sz w:val="22"/>
          <w:szCs w:val="22"/>
        </w:rPr>
      </w:pPr>
    </w:p>
    <w:p w:rsidR="008D6841" w:rsidRDefault="008D6841" w:rsidP="00AE08E8">
      <w:pPr>
        <w:jc w:val="both"/>
        <w:rPr>
          <w:rFonts w:ascii="Times New Roman" w:hAnsi="Times New Roman"/>
          <w:sz w:val="22"/>
          <w:szCs w:val="22"/>
        </w:rPr>
      </w:pPr>
    </w:p>
    <w:p w:rsidR="008D6841" w:rsidRDefault="008D6841" w:rsidP="00AE08E8">
      <w:pPr>
        <w:jc w:val="both"/>
        <w:rPr>
          <w:rFonts w:ascii="Times New Roman" w:hAnsi="Times New Roman"/>
          <w:sz w:val="22"/>
          <w:szCs w:val="22"/>
        </w:rPr>
      </w:pPr>
    </w:p>
    <w:p w:rsidR="008D6841" w:rsidRDefault="008D684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4A6E22" w:rsidRDefault="004A6E22" w:rsidP="00AE08E8">
      <w:pPr>
        <w:jc w:val="both"/>
        <w:rPr>
          <w:rFonts w:ascii="Times New Roman" w:hAnsi="Times New Roman"/>
          <w:sz w:val="22"/>
          <w:szCs w:val="22"/>
        </w:rPr>
      </w:pPr>
    </w:p>
    <w:p w:rsidR="004A6E22" w:rsidRPr="006458A2" w:rsidRDefault="004A6E22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58A2" w:rsidRPr="006458A2" w:rsidTr="00FE0CF1">
        <w:trPr>
          <w:trHeight w:val="284"/>
        </w:trPr>
        <w:tc>
          <w:tcPr>
            <w:tcW w:w="5495" w:type="dxa"/>
            <w:shd w:val="clear" w:color="auto" w:fill="auto"/>
          </w:tcPr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6458A2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92B46" w:rsidRDefault="00892B46" w:rsidP="00953460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6458A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  <w:p w:rsidR="004A6E22" w:rsidRDefault="004A6E22" w:rsidP="00953460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A6E22" w:rsidRDefault="004A6E22" w:rsidP="00953460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A6E22" w:rsidRDefault="004A6E22" w:rsidP="00953460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A6E22" w:rsidRDefault="004A6E22" w:rsidP="00953460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A6E22" w:rsidRPr="006458A2" w:rsidRDefault="004A6E22" w:rsidP="00953460">
            <w:pPr>
              <w:rPr>
                <w:rFonts w:ascii="Times New Roman" w:eastAsia="Times New Roman" w:hAnsi="Times New Roman"/>
                <w:b/>
                <w:spacing w:val="4"/>
              </w:rPr>
            </w:pPr>
          </w:p>
        </w:tc>
      </w:tr>
      <w:tr w:rsidR="006458A2" w:rsidRPr="006458A2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CB0F13" w:rsidRPr="006458A2" w:rsidRDefault="00CB0F13" w:rsidP="00134D8D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44845" w:rsidRPr="006458A2" w:rsidRDefault="00444845" w:rsidP="00A87567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</w:t>
            </w:r>
            <w:r w:rsidR="007C5B39"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teto e</w:t>
            </w:r>
            <w:r w:rsidR="004A6E2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Urbanista Paulo Cesar do Amaral</w:t>
            </w:r>
          </w:p>
          <w:p w:rsidR="00892B46" w:rsidRPr="006458A2" w:rsidRDefault="00A87567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      </w:t>
            </w:r>
            <w:r w:rsidR="004A6E2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4A6E22" w:rsidRPr="006458A2" w:rsidRDefault="004A6E22" w:rsidP="004A6E22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Urbanista Fabio Henrique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Menoncin</w:t>
            </w:r>
            <w:proofErr w:type="spellEnd"/>
          </w:p>
          <w:p w:rsidR="004A6E22" w:rsidRPr="006458A2" w:rsidRDefault="004A6E22" w:rsidP="004A6E22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- Membro</w:t>
            </w:r>
          </w:p>
          <w:p w:rsidR="004A6E22" w:rsidRPr="006458A2" w:rsidRDefault="004A6E22" w:rsidP="004A6E22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92B46" w:rsidRPr="006458A2" w:rsidRDefault="00892B46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892B46" w:rsidRDefault="00892B46" w:rsidP="00EB5691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  <w:p w:rsidR="00CD2FAC" w:rsidRPr="006458A2" w:rsidRDefault="00CD2FAC" w:rsidP="00EB5691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91384E" w:rsidRPr="006458A2" w:rsidRDefault="0091384E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t>Isabela Furtado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892B46" w:rsidRDefault="00892B46" w:rsidP="00AF22E3">
            <w:pPr>
              <w:rPr>
                <w:rFonts w:ascii="Times New Roman" w:eastAsia="Times New Roman" w:hAnsi="Times New Roman"/>
                <w:spacing w:val="4"/>
              </w:rPr>
            </w:pPr>
          </w:p>
          <w:p w:rsidR="00D42E89" w:rsidRPr="006458A2" w:rsidRDefault="00D42E89" w:rsidP="00AF22E3">
            <w:pPr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AF22E3" w:rsidRPr="006458A2" w:rsidRDefault="00F76E70" w:rsidP="00AF22E3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pacing w:val="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"/>
                <w:u w:val="single"/>
              </w:rPr>
              <w:t>Nathally</w:t>
            </w:r>
            <w:proofErr w:type="spellEnd"/>
            <w:r>
              <w:rPr>
                <w:rFonts w:ascii="Times New Roman" w:eastAsia="Times New Roman" w:hAnsi="Times New Roman"/>
                <w:b/>
                <w:spacing w:val="4"/>
                <w:u w:val="single"/>
              </w:rPr>
              <w:t xml:space="preserve"> de Almeida Leite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"/>
                <w:u w:val="single"/>
              </w:rPr>
              <w:t>Ifram</w:t>
            </w:r>
            <w:proofErr w:type="spellEnd"/>
          </w:p>
          <w:p w:rsidR="00892B46" w:rsidRPr="006458A2" w:rsidRDefault="00390E00" w:rsidP="00953460">
            <w:pPr>
              <w:ind w:left="142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Aux. Administrativo </w:t>
            </w:r>
            <w:r w:rsidR="00527ED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/</w:t>
            </w:r>
            <w:r w:rsidR="00463E72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Jurídico 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– CAU/MS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br/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6458A2" w:rsidRPr="006458A2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6458A2" w:rsidRDefault="00892B46" w:rsidP="00AE08E8">
            <w:pPr>
              <w:ind w:left="142" w:right="-216" w:hanging="142"/>
              <w:jc w:val="both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892B46" w:rsidRPr="006458A2" w:rsidRDefault="00892B46" w:rsidP="00AE08E8">
            <w:pPr>
              <w:pStyle w:val="SemEspaamento"/>
              <w:jc w:val="both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892B46" w:rsidRPr="006458A2" w:rsidRDefault="00892B46" w:rsidP="00AE08E8">
      <w:pPr>
        <w:tabs>
          <w:tab w:val="left" w:pos="488"/>
          <w:tab w:val="left" w:pos="2260"/>
        </w:tabs>
        <w:jc w:val="both"/>
        <w:rPr>
          <w:rFonts w:ascii="Times New Roman" w:hAnsi="Times New Roman"/>
          <w:sz w:val="22"/>
          <w:szCs w:val="22"/>
        </w:rPr>
      </w:pPr>
    </w:p>
    <w:p w:rsidR="00860783" w:rsidRPr="006458A2" w:rsidRDefault="00860783" w:rsidP="00AE08E8">
      <w:pPr>
        <w:jc w:val="both"/>
        <w:rPr>
          <w:rFonts w:ascii="Times New Roman" w:hAnsi="Times New Roman"/>
        </w:rPr>
      </w:pPr>
    </w:p>
    <w:sectPr w:rsidR="00860783" w:rsidRPr="006458A2" w:rsidSect="00E4609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85" w:rsidRDefault="00736785">
      <w:r>
        <w:separator/>
      </w:r>
    </w:p>
  </w:endnote>
  <w:endnote w:type="continuationSeparator" w:id="0">
    <w:p w:rsidR="00736785" w:rsidRDefault="0073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92B46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892B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C7">
          <w:rPr>
            <w:noProof/>
          </w:rPr>
          <w:t>3</w:t>
        </w:r>
        <w:r>
          <w:fldChar w:fldCharType="end"/>
        </w:r>
      </w:p>
    </w:sdtContent>
  </w:sdt>
  <w:p w:rsidR="005355FD" w:rsidRDefault="006A01C7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85" w:rsidRDefault="00736785">
      <w:r>
        <w:separator/>
      </w:r>
    </w:p>
  </w:footnote>
  <w:footnote w:type="continuationSeparator" w:id="0">
    <w:p w:rsidR="00736785" w:rsidRDefault="0073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892B46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6A01C7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6A01C7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6A01C7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6A01C7" w:rsidP="0091384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892B46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0" t="0" r="3175" b="698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C0" w:rsidRPr="001F19FD" w:rsidRDefault="006A01C7" w:rsidP="00490CC0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2.15pt;margin-top:-51.1pt;width:325.2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" stroked="f">
              <v:textbox>
                <w:txbxContent>
                  <w:p w:rsidR="00490CC0" w:rsidRPr="001F19FD" w:rsidRDefault="00CD2FAC" w:rsidP="00490CC0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61CE9"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- 59</w:t>
    </w:r>
    <w:r w:rsidR="006A01C7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</w:t>
    </w:r>
    <w:proofErr w:type="gramStart"/>
    <w:r w:rsidR="006A01C7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CED</w:t>
    </w:r>
    <w:proofErr w:type="gramEnd"/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892B46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6A01C7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884291"/>
    <w:multiLevelType w:val="hybridMultilevel"/>
    <w:tmpl w:val="08668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BDD"/>
    <w:multiLevelType w:val="hybridMultilevel"/>
    <w:tmpl w:val="B7A25E40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1162049E"/>
    <w:multiLevelType w:val="hybridMultilevel"/>
    <w:tmpl w:val="C7AC9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3FBE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5" w15:restartNumberingAfterBreak="0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B77974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8156CE8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B379CC"/>
    <w:multiLevelType w:val="hybridMultilevel"/>
    <w:tmpl w:val="BE3691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D82FA4"/>
    <w:multiLevelType w:val="multilevel"/>
    <w:tmpl w:val="ACDE44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F4237E7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50D76CD"/>
    <w:multiLevelType w:val="hybridMultilevel"/>
    <w:tmpl w:val="CD48C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16" w15:restartNumberingAfterBreak="0">
    <w:nsid w:val="380554B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7" w15:restartNumberingAfterBreak="0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D4C5A0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04009BD"/>
    <w:multiLevelType w:val="hybridMultilevel"/>
    <w:tmpl w:val="9618804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33019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C13325C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23" w15:restartNumberingAfterBreak="0">
    <w:nsid w:val="4C232154"/>
    <w:multiLevelType w:val="hybridMultilevel"/>
    <w:tmpl w:val="8A52FBC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D7017AC"/>
    <w:multiLevelType w:val="hybridMultilevel"/>
    <w:tmpl w:val="DB1C4708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F032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9881072"/>
    <w:multiLevelType w:val="multilevel"/>
    <w:tmpl w:val="2C5065D0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BCC2FE9"/>
    <w:multiLevelType w:val="hybridMultilevel"/>
    <w:tmpl w:val="17124A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8E3C15"/>
    <w:multiLevelType w:val="hybridMultilevel"/>
    <w:tmpl w:val="680062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C81B10"/>
    <w:multiLevelType w:val="multilevel"/>
    <w:tmpl w:val="6B1ED5B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10"/>
  </w:num>
  <w:num w:numId="7">
    <w:abstractNumId w:val="28"/>
  </w:num>
  <w:num w:numId="8">
    <w:abstractNumId w:val="26"/>
  </w:num>
  <w:num w:numId="9">
    <w:abstractNumId w:val="17"/>
  </w:num>
  <w:num w:numId="10">
    <w:abstractNumId w:val="5"/>
  </w:num>
  <w:num w:numId="11">
    <w:abstractNumId w:val="23"/>
  </w:num>
  <w:num w:numId="12">
    <w:abstractNumId w:val="3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9"/>
  </w:num>
  <w:num w:numId="18">
    <w:abstractNumId w:val="19"/>
  </w:num>
  <w:num w:numId="19">
    <w:abstractNumId w:val="2"/>
  </w:num>
  <w:num w:numId="20">
    <w:abstractNumId w:val="25"/>
  </w:num>
  <w:num w:numId="21">
    <w:abstractNumId w:val="8"/>
  </w:num>
  <w:num w:numId="22">
    <w:abstractNumId w:val="21"/>
  </w:num>
  <w:num w:numId="23">
    <w:abstractNumId w:val="18"/>
  </w:num>
  <w:num w:numId="24">
    <w:abstractNumId w:val="7"/>
  </w:num>
  <w:num w:numId="25">
    <w:abstractNumId w:val="13"/>
  </w:num>
  <w:num w:numId="26">
    <w:abstractNumId w:val="16"/>
  </w:num>
  <w:num w:numId="27">
    <w:abstractNumId w:val="31"/>
  </w:num>
  <w:num w:numId="28">
    <w:abstractNumId w:val="4"/>
  </w:num>
  <w:num w:numId="29">
    <w:abstractNumId w:val="30"/>
  </w:num>
  <w:num w:numId="30">
    <w:abstractNumId w:val="22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7C5"/>
    <w:rsid w:val="0000547E"/>
    <w:rsid w:val="0001669F"/>
    <w:rsid w:val="0002389A"/>
    <w:rsid w:val="000336A2"/>
    <w:rsid w:val="00034348"/>
    <w:rsid w:val="00035346"/>
    <w:rsid w:val="00035B67"/>
    <w:rsid w:val="00036B85"/>
    <w:rsid w:val="00042295"/>
    <w:rsid w:val="00045616"/>
    <w:rsid w:val="00046010"/>
    <w:rsid w:val="00055B5B"/>
    <w:rsid w:val="000667EB"/>
    <w:rsid w:val="000709DC"/>
    <w:rsid w:val="00075705"/>
    <w:rsid w:val="00075CBE"/>
    <w:rsid w:val="000821FA"/>
    <w:rsid w:val="000A419B"/>
    <w:rsid w:val="000A4E5D"/>
    <w:rsid w:val="000B442D"/>
    <w:rsid w:val="000B4916"/>
    <w:rsid w:val="000C1A93"/>
    <w:rsid w:val="000C33C9"/>
    <w:rsid w:val="000D68B8"/>
    <w:rsid w:val="000D75FB"/>
    <w:rsid w:val="000E2D18"/>
    <w:rsid w:val="000E764C"/>
    <w:rsid w:val="000F0840"/>
    <w:rsid w:val="000F1ABA"/>
    <w:rsid w:val="000F7C5A"/>
    <w:rsid w:val="00106BE9"/>
    <w:rsid w:val="00112DA8"/>
    <w:rsid w:val="00113B00"/>
    <w:rsid w:val="00116FAA"/>
    <w:rsid w:val="00125E9C"/>
    <w:rsid w:val="00134D8D"/>
    <w:rsid w:val="0013787D"/>
    <w:rsid w:val="0014154F"/>
    <w:rsid w:val="00154072"/>
    <w:rsid w:val="0015733F"/>
    <w:rsid w:val="00157C51"/>
    <w:rsid w:val="001651A9"/>
    <w:rsid w:val="00173937"/>
    <w:rsid w:val="001914CF"/>
    <w:rsid w:val="001938C7"/>
    <w:rsid w:val="00197F95"/>
    <w:rsid w:val="001A0987"/>
    <w:rsid w:val="001B49EB"/>
    <w:rsid w:val="001C040E"/>
    <w:rsid w:val="001C7BC3"/>
    <w:rsid w:val="001C7D92"/>
    <w:rsid w:val="00205FED"/>
    <w:rsid w:val="0020640F"/>
    <w:rsid w:val="00212612"/>
    <w:rsid w:val="00230F2C"/>
    <w:rsid w:val="002331F5"/>
    <w:rsid w:val="00236508"/>
    <w:rsid w:val="002433F4"/>
    <w:rsid w:val="00256EEB"/>
    <w:rsid w:val="00257AB9"/>
    <w:rsid w:val="00260134"/>
    <w:rsid w:val="002627DB"/>
    <w:rsid w:val="00290505"/>
    <w:rsid w:val="002B7AA5"/>
    <w:rsid w:val="002C7CA1"/>
    <w:rsid w:val="002C7D2D"/>
    <w:rsid w:val="002D0668"/>
    <w:rsid w:val="002D17AA"/>
    <w:rsid w:val="002E21AB"/>
    <w:rsid w:val="002E4957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04C9"/>
    <w:rsid w:val="0037539F"/>
    <w:rsid w:val="00376734"/>
    <w:rsid w:val="00385481"/>
    <w:rsid w:val="00390BDD"/>
    <w:rsid w:val="00390E00"/>
    <w:rsid w:val="00392C78"/>
    <w:rsid w:val="00395944"/>
    <w:rsid w:val="003B5202"/>
    <w:rsid w:val="003C5BB0"/>
    <w:rsid w:val="003C6D41"/>
    <w:rsid w:val="003C7D93"/>
    <w:rsid w:val="003D003A"/>
    <w:rsid w:val="003D46F2"/>
    <w:rsid w:val="003D563F"/>
    <w:rsid w:val="003E5A8C"/>
    <w:rsid w:val="003F076C"/>
    <w:rsid w:val="00402A3A"/>
    <w:rsid w:val="004139E3"/>
    <w:rsid w:val="0041410B"/>
    <w:rsid w:val="00422B3D"/>
    <w:rsid w:val="00427E6E"/>
    <w:rsid w:val="00432E93"/>
    <w:rsid w:val="004358E4"/>
    <w:rsid w:val="00441E35"/>
    <w:rsid w:val="00442FE6"/>
    <w:rsid w:val="00444845"/>
    <w:rsid w:val="004561FD"/>
    <w:rsid w:val="00456DE6"/>
    <w:rsid w:val="00457304"/>
    <w:rsid w:val="00457C8B"/>
    <w:rsid w:val="00463E72"/>
    <w:rsid w:val="004647D3"/>
    <w:rsid w:val="004813FA"/>
    <w:rsid w:val="00481EE3"/>
    <w:rsid w:val="004876CE"/>
    <w:rsid w:val="004904B3"/>
    <w:rsid w:val="00492261"/>
    <w:rsid w:val="00492990"/>
    <w:rsid w:val="004A0BD8"/>
    <w:rsid w:val="004A520F"/>
    <w:rsid w:val="004A6E22"/>
    <w:rsid w:val="004B5AFB"/>
    <w:rsid w:val="004C75FD"/>
    <w:rsid w:val="004E5A57"/>
    <w:rsid w:val="004F0026"/>
    <w:rsid w:val="004F02E9"/>
    <w:rsid w:val="00500F72"/>
    <w:rsid w:val="0050284A"/>
    <w:rsid w:val="00512FCE"/>
    <w:rsid w:val="00520A8B"/>
    <w:rsid w:val="00527ED4"/>
    <w:rsid w:val="00532BA1"/>
    <w:rsid w:val="00534AC2"/>
    <w:rsid w:val="005432F0"/>
    <w:rsid w:val="00547ABC"/>
    <w:rsid w:val="00552379"/>
    <w:rsid w:val="00554428"/>
    <w:rsid w:val="00554D36"/>
    <w:rsid w:val="005571F3"/>
    <w:rsid w:val="00560A72"/>
    <w:rsid w:val="00567B5F"/>
    <w:rsid w:val="0058074D"/>
    <w:rsid w:val="005850D8"/>
    <w:rsid w:val="00590BBA"/>
    <w:rsid w:val="00590DB1"/>
    <w:rsid w:val="00597E8B"/>
    <w:rsid w:val="005A569E"/>
    <w:rsid w:val="005B4B08"/>
    <w:rsid w:val="005C23DA"/>
    <w:rsid w:val="005C4D17"/>
    <w:rsid w:val="005E1267"/>
    <w:rsid w:val="0060225F"/>
    <w:rsid w:val="00612FB1"/>
    <w:rsid w:val="00620142"/>
    <w:rsid w:val="00621B5A"/>
    <w:rsid w:val="00621C82"/>
    <w:rsid w:val="00623A76"/>
    <w:rsid w:val="00625944"/>
    <w:rsid w:val="00632771"/>
    <w:rsid w:val="00643024"/>
    <w:rsid w:val="006458A2"/>
    <w:rsid w:val="0065622C"/>
    <w:rsid w:val="00657F62"/>
    <w:rsid w:val="00665340"/>
    <w:rsid w:val="0066544D"/>
    <w:rsid w:val="00680C98"/>
    <w:rsid w:val="00681791"/>
    <w:rsid w:val="006844D4"/>
    <w:rsid w:val="00684E23"/>
    <w:rsid w:val="00686066"/>
    <w:rsid w:val="006869B1"/>
    <w:rsid w:val="00690AA1"/>
    <w:rsid w:val="00696FB8"/>
    <w:rsid w:val="006A01C7"/>
    <w:rsid w:val="006A3DBB"/>
    <w:rsid w:val="006C1BAC"/>
    <w:rsid w:val="006D5153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36785"/>
    <w:rsid w:val="007519A0"/>
    <w:rsid w:val="0076095B"/>
    <w:rsid w:val="00766214"/>
    <w:rsid w:val="007755B5"/>
    <w:rsid w:val="007806D8"/>
    <w:rsid w:val="00782D55"/>
    <w:rsid w:val="007851CA"/>
    <w:rsid w:val="00785D08"/>
    <w:rsid w:val="00792124"/>
    <w:rsid w:val="00793C13"/>
    <w:rsid w:val="00796403"/>
    <w:rsid w:val="007A0688"/>
    <w:rsid w:val="007A5F10"/>
    <w:rsid w:val="007A78D3"/>
    <w:rsid w:val="007B478E"/>
    <w:rsid w:val="007B7B88"/>
    <w:rsid w:val="007C5732"/>
    <w:rsid w:val="007C5B39"/>
    <w:rsid w:val="007D0D69"/>
    <w:rsid w:val="007D3CD9"/>
    <w:rsid w:val="007E058F"/>
    <w:rsid w:val="007E4B6C"/>
    <w:rsid w:val="007E6609"/>
    <w:rsid w:val="007F0F63"/>
    <w:rsid w:val="007F28F4"/>
    <w:rsid w:val="007F3D5C"/>
    <w:rsid w:val="007F5552"/>
    <w:rsid w:val="008070BD"/>
    <w:rsid w:val="008362B9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A7DF6"/>
    <w:rsid w:val="008B4D7F"/>
    <w:rsid w:val="008B532E"/>
    <w:rsid w:val="008C4710"/>
    <w:rsid w:val="008D1B28"/>
    <w:rsid w:val="008D239A"/>
    <w:rsid w:val="008D317A"/>
    <w:rsid w:val="008D4956"/>
    <w:rsid w:val="008D6841"/>
    <w:rsid w:val="008E7ED4"/>
    <w:rsid w:val="009008D2"/>
    <w:rsid w:val="00913480"/>
    <w:rsid w:val="0091384E"/>
    <w:rsid w:val="00930425"/>
    <w:rsid w:val="00931B77"/>
    <w:rsid w:val="009517F0"/>
    <w:rsid w:val="00953460"/>
    <w:rsid w:val="009554D8"/>
    <w:rsid w:val="00955FF1"/>
    <w:rsid w:val="00956512"/>
    <w:rsid w:val="00964CBF"/>
    <w:rsid w:val="00976568"/>
    <w:rsid w:val="0098052D"/>
    <w:rsid w:val="00985A30"/>
    <w:rsid w:val="00993A8C"/>
    <w:rsid w:val="00995604"/>
    <w:rsid w:val="009956D0"/>
    <w:rsid w:val="009A0609"/>
    <w:rsid w:val="009C1B1F"/>
    <w:rsid w:val="009C6595"/>
    <w:rsid w:val="009C6EA6"/>
    <w:rsid w:val="009C7216"/>
    <w:rsid w:val="009C79BF"/>
    <w:rsid w:val="009D21B4"/>
    <w:rsid w:val="009D4CC1"/>
    <w:rsid w:val="009F16DE"/>
    <w:rsid w:val="00A0078C"/>
    <w:rsid w:val="00A10007"/>
    <w:rsid w:val="00A302CA"/>
    <w:rsid w:val="00A331F3"/>
    <w:rsid w:val="00A33A62"/>
    <w:rsid w:val="00A3638E"/>
    <w:rsid w:val="00A37F28"/>
    <w:rsid w:val="00A410FE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4CF8"/>
    <w:rsid w:val="00AE79BA"/>
    <w:rsid w:val="00AF2270"/>
    <w:rsid w:val="00AF22E3"/>
    <w:rsid w:val="00B03DB6"/>
    <w:rsid w:val="00B1505B"/>
    <w:rsid w:val="00B20B9A"/>
    <w:rsid w:val="00B26D2F"/>
    <w:rsid w:val="00B4408C"/>
    <w:rsid w:val="00B56867"/>
    <w:rsid w:val="00B65764"/>
    <w:rsid w:val="00B75B31"/>
    <w:rsid w:val="00B841BF"/>
    <w:rsid w:val="00B863B5"/>
    <w:rsid w:val="00B91F13"/>
    <w:rsid w:val="00B921A1"/>
    <w:rsid w:val="00BA1C8F"/>
    <w:rsid w:val="00BA2310"/>
    <w:rsid w:val="00BA32D3"/>
    <w:rsid w:val="00BA6347"/>
    <w:rsid w:val="00BB06DF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20FCE"/>
    <w:rsid w:val="00C21618"/>
    <w:rsid w:val="00C217C1"/>
    <w:rsid w:val="00C23CC4"/>
    <w:rsid w:val="00C249F2"/>
    <w:rsid w:val="00C27AA8"/>
    <w:rsid w:val="00C31E91"/>
    <w:rsid w:val="00C42F49"/>
    <w:rsid w:val="00C63B3F"/>
    <w:rsid w:val="00C66489"/>
    <w:rsid w:val="00C668D6"/>
    <w:rsid w:val="00C67ECC"/>
    <w:rsid w:val="00C708CB"/>
    <w:rsid w:val="00C76601"/>
    <w:rsid w:val="00C905CA"/>
    <w:rsid w:val="00C945B5"/>
    <w:rsid w:val="00CB0F13"/>
    <w:rsid w:val="00CB1400"/>
    <w:rsid w:val="00CB3602"/>
    <w:rsid w:val="00CB4B74"/>
    <w:rsid w:val="00CB6BFD"/>
    <w:rsid w:val="00CB734D"/>
    <w:rsid w:val="00CC138A"/>
    <w:rsid w:val="00CC352C"/>
    <w:rsid w:val="00CD2FAC"/>
    <w:rsid w:val="00CF077A"/>
    <w:rsid w:val="00D062A7"/>
    <w:rsid w:val="00D132A5"/>
    <w:rsid w:val="00D21AAF"/>
    <w:rsid w:val="00D26AB6"/>
    <w:rsid w:val="00D32CEF"/>
    <w:rsid w:val="00D42E89"/>
    <w:rsid w:val="00D524C2"/>
    <w:rsid w:val="00D62176"/>
    <w:rsid w:val="00D779AC"/>
    <w:rsid w:val="00D9100C"/>
    <w:rsid w:val="00D91043"/>
    <w:rsid w:val="00D9137B"/>
    <w:rsid w:val="00D97039"/>
    <w:rsid w:val="00D971C7"/>
    <w:rsid w:val="00DB2136"/>
    <w:rsid w:val="00DC6001"/>
    <w:rsid w:val="00DC66F5"/>
    <w:rsid w:val="00DD01F6"/>
    <w:rsid w:val="00DE0BB1"/>
    <w:rsid w:val="00DE0D89"/>
    <w:rsid w:val="00DE13BC"/>
    <w:rsid w:val="00DE1D6A"/>
    <w:rsid w:val="00DE2C86"/>
    <w:rsid w:val="00DF1E84"/>
    <w:rsid w:val="00DF711A"/>
    <w:rsid w:val="00E145FF"/>
    <w:rsid w:val="00E32331"/>
    <w:rsid w:val="00E43817"/>
    <w:rsid w:val="00E46099"/>
    <w:rsid w:val="00E52C3F"/>
    <w:rsid w:val="00E560A2"/>
    <w:rsid w:val="00E61CE9"/>
    <w:rsid w:val="00E8124C"/>
    <w:rsid w:val="00E844FC"/>
    <w:rsid w:val="00E906FD"/>
    <w:rsid w:val="00E90C43"/>
    <w:rsid w:val="00E96759"/>
    <w:rsid w:val="00EA5072"/>
    <w:rsid w:val="00EB0B20"/>
    <w:rsid w:val="00EB2CAC"/>
    <w:rsid w:val="00EB5691"/>
    <w:rsid w:val="00EC1455"/>
    <w:rsid w:val="00ED19E6"/>
    <w:rsid w:val="00ED6885"/>
    <w:rsid w:val="00EE7E82"/>
    <w:rsid w:val="00EF034A"/>
    <w:rsid w:val="00EF693F"/>
    <w:rsid w:val="00F030BA"/>
    <w:rsid w:val="00F253F1"/>
    <w:rsid w:val="00F627A7"/>
    <w:rsid w:val="00F62DAF"/>
    <w:rsid w:val="00F76E70"/>
    <w:rsid w:val="00F7770C"/>
    <w:rsid w:val="00F810E3"/>
    <w:rsid w:val="00F91CD4"/>
    <w:rsid w:val="00F97E18"/>
    <w:rsid w:val="00FB0965"/>
    <w:rsid w:val="00FB14D3"/>
    <w:rsid w:val="00FB64C7"/>
    <w:rsid w:val="00FC4D1A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5861-6026-4F26-82FC-DA40B0DD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8</cp:revision>
  <cp:lastPrinted>2018-07-04T20:44:00Z</cp:lastPrinted>
  <dcterms:created xsi:type="dcterms:W3CDTF">2018-11-30T19:25:00Z</dcterms:created>
  <dcterms:modified xsi:type="dcterms:W3CDTF">2018-12-03T16:14:00Z</dcterms:modified>
</cp:coreProperties>
</file>